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E810" w14:textId="7B6A59B9" w:rsidR="007C7CC7" w:rsidRDefault="00FE0E0C" w:rsidP="008E4804">
      <w:pPr>
        <w:jc w:val="center"/>
        <w:rPr>
          <w:b/>
          <w:sz w:val="28"/>
          <w:szCs w:val="28"/>
        </w:rPr>
      </w:pPr>
      <w:r>
        <w:rPr>
          <w:b/>
          <w:sz w:val="28"/>
          <w:szCs w:val="28"/>
        </w:rPr>
        <w:t xml:space="preserve">General </w:t>
      </w:r>
      <w:r w:rsidR="00FE07C4">
        <w:rPr>
          <w:b/>
          <w:sz w:val="28"/>
          <w:szCs w:val="28"/>
        </w:rPr>
        <w:t>F</w:t>
      </w:r>
      <w:r w:rsidR="00CF3142">
        <w:rPr>
          <w:b/>
          <w:sz w:val="28"/>
          <w:szCs w:val="28"/>
        </w:rPr>
        <w:t xml:space="preserve">lushing </w:t>
      </w:r>
      <w:r w:rsidR="00FE07C4">
        <w:rPr>
          <w:b/>
          <w:sz w:val="28"/>
          <w:szCs w:val="28"/>
        </w:rPr>
        <w:t>R</w:t>
      </w:r>
      <w:r w:rsidR="00CF3142">
        <w:rPr>
          <w:b/>
          <w:sz w:val="28"/>
          <w:szCs w:val="28"/>
        </w:rPr>
        <w:t>egime</w:t>
      </w:r>
    </w:p>
    <w:p w14:paraId="3FAAE811" w14:textId="77777777" w:rsidR="007A0BE9" w:rsidRPr="007A0BE9" w:rsidRDefault="007A0BE9" w:rsidP="007A0BE9">
      <w:pPr>
        <w:spacing w:after="0" w:line="240" w:lineRule="auto"/>
        <w:rPr>
          <w:b/>
          <w:sz w:val="24"/>
          <w:szCs w:val="24"/>
        </w:rPr>
      </w:pPr>
      <w:r w:rsidRPr="007A0BE9">
        <w:rPr>
          <w:b/>
          <w:sz w:val="24"/>
          <w:szCs w:val="24"/>
        </w:rPr>
        <w:t>Note:</w:t>
      </w:r>
    </w:p>
    <w:p w14:paraId="3FAAE813" w14:textId="34CF2F92" w:rsidR="007B52DB" w:rsidRDefault="009D35FF" w:rsidP="007A0BE9">
      <w:pPr>
        <w:pStyle w:val="ListParagraph"/>
        <w:numPr>
          <w:ilvl w:val="0"/>
          <w:numId w:val="3"/>
        </w:numPr>
        <w:rPr>
          <w:b/>
        </w:rPr>
      </w:pPr>
      <w:r>
        <w:rPr>
          <w:b/>
        </w:rPr>
        <w:t>L</w:t>
      </w:r>
      <w:r w:rsidR="007B52DB">
        <w:rPr>
          <w:b/>
        </w:rPr>
        <w:t xml:space="preserve">isted tasks </w:t>
      </w:r>
      <w:proofErr w:type="gramStart"/>
      <w:r w:rsidR="007B52DB">
        <w:rPr>
          <w:b/>
        </w:rPr>
        <w:t>are a reflection of</w:t>
      </w:r>
      <w:proofErr w:type="gramEnd"/>
      <w:r w:rsidR="007B52DB">
        <w:rPr>
          <w:b/>
        </w:rPr>
        <w:t xml:space="preserve"> the ACOP (L8) </w:t>
      </w:r>
      <w:r w:rsidR="00FF2FFA">
        <w:rPr>
          <w:b/>
        </w:rPr>
        <w:t>recommended</w:t>
      </w:r>
      <w:r w:rsidR="006D64D5">
        <w:rPr>
          <w:b/>
        </w:rPr>
        <w:t xml:space="preserve"> </w:t>
      </w:r>
      <w:r w:rsidR="00FF2FFA">
        <w:rPr>
          <w:b/>
        </w:rPr>
        <w:t>flushing guidance</w:t>
      </w:r>
      <w:r w:rsidR="006D64D5">
        <w:rPr>
          <w:b/>
        </w:rPr>
        <w:t>.</w:t>
      </w:r>
    </w:p>
    <w:p w14:paraId="3FAAE814" w14:textId="0B60C018" w:rsidR="007A0BE9" w:rsidRPr="00E130D5" w:rsidRDefault="007A0BE9" w:rsidP="009D35FF">
      <w:pPr>
        <w:pStyle w:val="ListParagraph"/>
        <w:rPr>
          <w:b/>
        </w:rPr>
      </w:pPr>
      <w:bookmarkStart w:id="0" w:name="_GoBack"/>
      <w:bookmarkEnd w:id="0"/>
    </w:p>
    <w:tbl>
      <w:tblPr>
        <w:tblStyle w:val="TableGrid"/>
        <w:tblW w:w="12159" w:type="dxa"/>
        <w:tblLayout w:type="fixed"/>
        <w:tblLook w:val="04A0" w:firstRow="1" w:lastRow="0" w:firstColumn="1" w:lastColumn="0" w:noHBand="0" w:noVBand="1"/>
      </w:tblPr>
      <w:tblGrid>
        <w:gridCol w:w="1101"/>
        <w:gridCol w:w="5927"/>
        <w:gridCol w:w="1018"/>
        <w:gridCol w:w="1277"/>
        <w:gridCol w:w="2836"/>
      </w:tblGrid>
      <w:tr w:rsidR="003B08B9" w:rsidRPr="0042585A" w14:paraId="3FAAE81B" w14:textId="77777777" w:rsidTr="009A4B94">
        <w:tc>
          <w:tcPr>
            <w:tcW w:w="1101" w:type="dxa"/>
            <w:shd w:val="clear" w:color="auto" w:fill="FFC000"/>
          </w:tcPr>
          <w:p w14:paraId="3FAAE815" w14:textId="77777777" w:rsidR="003B08B9" w:rsidRPr="0042585A" w:rsidRDefault="003B08B9" w:rsidP="0042585A">
            <w:pPr>
              <w:jc w:val="center"/>
              <w:rPr>
                <w:b/>
                <w:sz w:val="24"/>
                <w:szCs w:val="24"/>
              </w:rPr>
            </w:pPr>
            <w:r>
              <w:rPr>
                <w:b/>
                <w:sz w:val="24"/>
                <w:szCs w:val="24"/>
              </w:rPr>
              <w:t>Phase</w:t>
            </w:r>
          </w:p>
        </w:tc>
        <w:tc>
          <w:tcPr>
            <w:tcW w:w="5927" w:type="dxa"/>
            <w:shd w:val="clear" w:color="auto" w:fill="FFC000"/>
          </w:tcPr>
          <w:p w14:paraId="3FAAE816" w14:textId="77777777" w:rsidR="003B08B9" w:rsidRPr="0042585A" w:rsidRDefault="003B08B9" w:rsidP="0042585A">
            <w:pPr>
              <w:jc w:val="center"/>
              <w:rPr>
                <w:b/>
                <w:sz w:val="24"/>
                <w:szCs w:val="24"/>
              </w:rPr>
            </w:pPr>
            <w:r w:rsidRPr="0042585A">
              <w:rPr>
                <w:b/>
                <w:sz w:val="24"/>
                <w:szCs w:val="24"/>
              </w:rPr>
              <w:t>Action required</w:t>
            </w:r>
          </w:p>
        </w:tc>
        <w:tc>
          <w:tcPr>
            <w:tcW w:w="1018" w:type="dxa"/>
            <w:shd w:val="clear" w:color="auto" w:fill="FFC000"/>
          </w:tcPr>
          <w:p w14:paraId="3FAAE817" w14:textId="77777777" w:rsidR="003B08B9" w:rsidRPr="0042585A" w:rsidRDefault="003B08B9" w:rsidP="001F57CB">
            <w:pPr>
              <w:jc w:val="center"/>
              <w:rPr>
                <w:b/>
                <w:sz w:val="24"/>
                <w:szCs w:val="24"/>
              </w:rPr>
            </w:pPr>
            <w:r w:rsidRPr="0042585A">
              <w:rPr>
                <w:b/>
                <w:sz w:val="24"/>
                <w:szCs w:val="24"/>
              </w:rPr>
              <w:t>Freq</w:t>
            </w:r>
            <w:r>
              <w:rPr>
                <w:b/>
                <w:sz w:val="24"/>
                <w:szCs w:val="24"/>
              </w:rPr>
              <w:t>.</w:t>
            </w:r>
          </w:p>
        </w:tc>
        <w:tc>
          <w:tcPr>
            <w:tcW w:w="1277" w:type="dxa"/>
            <w:shd w:val="clear" w:color="auto" w:fill="FFC000"/>
          </w:tcPr>
          <w:p w14:paraId="3FAAE818" w14:textId="77777777" w:rsidR="003B08B9" w:rsidRDefault="003B08B9" w:rsidP="001F57CB">
            <w:pPr>
              <w:jc w:val="center"/>
              <w:rPr>
                <w:b/>
                <w:sz w:val="24"/>
                <w:szCs w:val="24"/>
              </w:rPr>
            </w:pPr>
            <w:r>
              <w:rPr>
                <w:b/>
                <w:sz w:val="24"/>
                <w:szCs w:val="24"/>
              </w:rPr>
              <w:t>Dept. Responsible</w:t>
            </w:r>
          </w:p>
        </w:tc>
        <w:tc>
          <w:tcPr>
            <w:tcW w:w="2836" w:type="dxa"/>
            <w:shd w:val="clear" w:color="auto" w:fill="FFC000"/>
          </w:tcPr>
          <w:p w14:paraId="3FAAE81A" w14:textId="77777777" w:rsidR="003B08B9" w:rsidRPr="0042585A" w:rsidRDefault="003B08B9" w:rsidP="0042585A">
            <w:pPr>
              <w:jc w:val="center"/>
              <w:rPr>
                <w:b/>
                <w:sz w:val="24"/>
                <w:szCs w:val="24"/>
              </w:rPr>
            </w:pPr>
            <w:r>
              <w:rPr>
                <w:b/>
                <w:sz w:val="24"/>
                <w:szCs w:val="24"/>
              </w:rPr>
              <w:t>Notes on current working practice</w:t>
            </w:r>
          </w:p>
        </w:tc>
      </w:tr>
      <w:tr w:rsidR="003B08B9" w:rsidRPr="0042585A" w14:paraId="3FAAE824" w14:textId="77777777" w:rsidTr="009A4B94">
        <w:tc>
          <w:tcPr>
            <w:tcW w:w="1101" w:type="dxa"/>
            <w:shd w:val="clear" w:color="auto" w:fill="FFC000"/>
          </w:tcPr>
          <w:p w14:paraId="3FAAE81C" w14:textId="77777777" w:rsidR="003B08B9" w:rsidRPr="0042585A" w:rsidRDefault="003B08B9" w:rsidP="0042585A">
            <w:pPr>
              <w:jc w:val="center"/>
              <w:rPr>
                <w:b/>
                <w:sz w:val="24"/>
                <w:szCs w:val="24"/>
              </w:rPr>
            </w:pPr>
          </w:p>
        </w:tc>
        <w:tc>
          <w:tcPr>
            <w:tcW w:w="5927" w:type="dxa"/>
            <w:shd w:val="clear" w:color="auto" w:fill="FFC000"/>
          </w:tcPr>
          <w:p w14:paraId="3FAAE81D" w14:textId="77777777" w:rsidR="003B08B9" w:rsidRPr="0042585A" w:rsidRDefault="003B08B9" w:rsidP="0042585A">
            <w:pPr>
              <w:jc w:val="center"/>
              <w:rPr>
                <w:b/>
                <w:sz w:val="24"/>
                <w:szCs w:val="24"/>
              </w:rPr>
            </w:pPr>
          </w:p>
        </w:tc>
        <w:tc>
          <w:tcPr>
            <w:tcW w:w="1018" w:type="dxa"/>
            <w:shd w:val="clear" w:color="auto" w:fill="FFC000"/>
          </w:tcPr>
          <w:p w14:paraId="3FAAE81E" w14:textId="77777777" w:rsidR="003B08B9" w:rsidRPr="0042585A" w:rsidRDefault="003B08B9" w:rsidP="0042585A">
            <w:pPr>
              <w:jc w:val="center"/>
              <w:rPr>
                <w:b/>
                <w:sz w:val="24"/>
                <w:szCs w:val="24"/>
              </w:rPr>
            </w:pPr>
          </w:p>
        </w:tc>
        <w:tc>
          <w:tcPr>
            <w:tcW w:w="1277" w:type="dxa"/>
            <w:shd w:val="clear" w:color="auto" w:fill="FFC000"/>
          </w:tcPr>
          <w:p w14:paraId="3FAAE81F" w14:textId="77777777" w:rsidR="003B08B9" w:rsidRDefault="003B08B9" w:rsidP="0042585A">
            <w:pPr>
              <w:jc w:val="center"/>
              <w:rPr>
                <w:b/>
                <w:sz w:val="24"/>
                <w:szCs w:val="24"/>
              </w:rPr>
            </w:pPr>
          </w:p>
        </w:tc>
        <w:tc>
          <w:tcPr>
            <w:tcW w:w="2836" w:type="dxa"/>
            <w:shd w:val="clear" w:color="auto" w:fill="FFC000"/>
          </w:tcPr>
          <w:p w14:paraId="3FAAE823" w14:textId="77777777" w:rsidR="003B08B9" w:rsidRPr="0042585A" w:rsidRDefault="003B08B9" w:rsidP="0042585A">
            <w:pPr>
              <w:jc w:val="center"/>
              <w:rPr>
                <w:b/>
                <w:sz w:val="24"/>
                <w:szCs w:val="24"/>
              </w:rPr>
            </w:pPr>
          </w:p>
        </w:tc>
      </w:tr>
      <w:tr w:rsidR="003B08B9" w14:paraId="3FAAE82D" w14:textId="77777777" w:rsidTr="009A4B94">
        <w:tc>
          <w:tcPr>
            <w:tcW w:w="1101" w:type="dxa"/>
          </w:tcPr>
          <w:p w14:paraId="3FAAE825" w14:textId="77777777" w:rsidR="003B08B9" w:rsidRPr="00BE7471" w:rsidRDefault="003B08B9" w:rsidP="0042585A">
            <w:pPr>
              <w:rPr>
                <w:b/>
                <w:sz w:val="24"/>
                <w:szCs w:val="24"/>
              </w:rPr>
            </w:pPr>
            <w:r>
              <w:rPr>
                <w:b/>
                <w:sz w:val="24"/>
                <w:szCs w:val="24"/>
              </w:rPr>
              <w:t>Phase 1</w:t>
            </w:r>
          </w:p>
        </w:tc>
        <w:tc>
          <w:tcPr>
            <w:tcW w:w="5927" w:type="dxa"/>
          </w:tcPr>
          <w:p w14:paraId="3FAAE826" w14:textId="77777777" w:rsidR="003B08B9" w:rsidRDefault="003B08B9" w:rsidP="0042585A"/>
        </w:tc>
        <w:tc>
          <w:tcPr>
            <w:tcW w:w="1018" w:type="dxa"/>
          </w:tcPr>
          <w:p w14:paraId="3FAAE827" w14:textId="77777777" w:rsidR="003B08B9" w:rsidRDefault="003B08B9" w:rsidP="0066313F">
            <w:pPr>
              <w:jc w:val="center"/>
            </w:pPr>
          </w:p>
        </w:tc>
        <w:tc>
          <w:tcPr>
            <w:tcW w:w="1277" w:type="dxa"/>
          </w:tcPr>
          <w:p w14:paraId="3FAAE828" w14:textId="77777777" w:rsidR="003B08B9" w:rsidRDefault="003B08B9" w:rsidP="00BD222F"/>
        </w:tc>
        <w:tc>
          <w:tcPr>
            <w:tcW w:w="2836" w:type="dxa"/>
          </w:tcPr>
          <w:p w14:paraId="3FAAE82C" w14:textId="77777777" w:rsidR="003B08B9" w:rsidRPr="00FF2FFA" w:rsidRDefault="003B08B9" w:rsidP="0066313F">
            <w:pPr>
              <w:jc w:val="center"/>
              <w:rPr>
                <w:i/>
              </w:rPr>
            </w:pPr>
          </w:p>
        </w:tc>
      </w:tr>
      <w:tr w:rsidR="003B08B9" w14:paraId="3FAAE837" w14:textId="77777777" w:rsidTr="009A4B94">
        <w:tc>
          <w:tcPr>
            <w:tcW w:w="1101" w:type="dxa"/>
          </w:tcPr>
          <w:p w14:paraId="3FAAE82E" w14:textId="77777777" w:rsidR="003B08B9" w:rsidRDefault="003B08B9" w:rsidP="0042585A"/>
        </w:tc>
        <w:tc>
          <w:tcPr>
            <w:tcW w:w="5927" w:type="dxa"/>
          </w:tcPr>
          <w:p w14:paraId="3FAAE82F" w14:textId="77777777" w:rsidR="003B08B9" w:rsidRDefault="003B08B9" w:rsidP="0042585A">
            <w:r w:rsidRPr="00381CB6">
              <w:t>Notify responsible site personnel and where necessary sign a ‘Permit to Work’ before commencing work.</w:t>
            </w:r>
          </w:p>
        </w:tc>
        <w:tc>
          <w:tcPr>
            <w:tcW w:w="1018" w:type="dxa"/>
          </w:tcPr>
          <w:p w14:paraId="3FAAE830" w14:textId="77777777" w:rsidR="003B08B9" w:rsidRDefault="003B08B9" w:rsidP="001F57CB">
            <w:pPr>
              <w:jc w:val="center"/>
            </w:pPr>
            <w:r>
              <w:t>Daily</w:t>
            </w:r>
          </w:p>
          <w:p w14:paraId="3FAAE831" w14:textId="77777777" w:rsidR="003B08B9" w:rsidRDefault="003B08B9" w:rsidP="0066313F">
            <w:pPr>
              <w:jc w:val="center"/>
            </w:pPr>
          </w:p>
        </w:tc>
        <w:tc>
          <w:tcPr>
            <w:tcW w:w="1277" w:type="dxa"/>
          </w:tcPr>
          <w:p w14:paraId="3FAAE832" w14:textId="5A7F5623" w:rsidR="003B08B9" w:rsidRDefault="003B08B9" w:rsidP="0021343D">
            <w:pPr>
              <w:jc w:val="center"/>
            </w:pPr>
          </w:p>
        </w:tc>
        <w:tc>
          <w:tcPr>
            <w:tcW w:w="2836" w:type="dxa"/>
          </w:tcPr>
          <w:p w14:paraId="3FAAE836" w14:textId="42406ED9" w:rsidR="003B08B9" w:rsidRPr="00FF2FFA" w:rsidRDefault="003B08B9" w:rsidP="0066313F">
            <w:pPr>
              <w:jc w:val="center"/>
              <w:rPr>
                <w:i/>
              </w:rPr>
            </w:pPr>
          </w:p>
        </w:tc>
      </w:tr>
      <w:tr w:rsidR="003B08B9" w14:paraId="3FAAE840" w14:textId="77777777" w:rsidTr="009A4B94">
        <w:tc>
          <w:tcPr>
            <w:tcW w:w="1101" w:type="dxa"/>
          </w:tcPr>
          <w:p w14:paraId="3FAAE838" w14:textId="77777777" w:rsidR="003B08B9" w:rsidRPr="00A10BCB" w:rsidRDefault="003B08B9" w:rsidP="00A10BCB">
            <w:pPr>
              <w:jc w:val="both"/>
              <w:rPr>
                <w:rFonts w:ascii="Arial" w:hAnsi="Arial" w:cs="Arial"/>
                <w:color w:val="002060"/>
              </w:rPr>
            </w:pPr>
            <w:r w:rsidRPr="00EE42B7">
              <w:rPr>
                <w:rFonts w:ascii="Arial" w:hAnsi="Arial" w:cs="Arial"/>
                <w:b/>
                <w:bCs/>
                <w:color w:val="002060"/>
              </w:rPr>
              <w:t>Phase 2</w:t>
            </w:r>
          </w:p>
        </w:tc>
        <w:tc>
          <w:tcPr>
            <w:tcW w:w="5927" w:type="dxa"/>
          </w:tcPr>
          <w:p w14:paraId="3FAAE839" w14:textId="77777777" w:rsidR="003B08B9" w:rsidRDefault="003B08B9" w:rsidP="0066313F"/>
        </w:tc>
        <w:tc>
          <w:tcPr>
            <w:tcW w:w="1018" w:type="dxa"/>
          </w:tcPr>
          <w:p w14:paraId="3FAAE83A" w14:textId="77777777" w:rsidR="003B08B9" w:rsidRDefault="003B08B9" w:rsidP="0066313F">
            <w:pPr>
              <w:jc w:val="center"/>
            </w:pPr>
          </w:p>
        </w:tc>
        <w:tc>
          <w:tcPr>
            <w:tcW w:w="1277" w:type="dxa"/>
          </w:tcPr>
          <w:p w14:paraId="3FAAE83B" w14:textId="77777777" w:rsidR="003B08B9" w:rsidRDefault="003B08B9" w:rsidP="0021343D">
            <w:pPr>
              <w:jc w:val="center"/>
            </w:pPr>
          </w:p>
        </w:tc>
        <w:tc>
          <w:tcPr>
            <w:tcW w:w="2836" w:type="dxa"/>
          </w:tcPr>
          <w:p w14:paraId="3FAAE83F" w14:textId="77777777" w:rsidR="003B08B9" w:rsidRPr="00FF2FFA" w:rsidRDefault="003B08B9" w:rsidP="0066313F">
            <w:pPr>
              <w:jc w:val="center"/>
              <w:rPr>
                <w:i/>
              </w:rPr>
            </w:pPr>
          </w:p>
        </w:tc>
      </w:tr>
      <w:tr w:rsidR="003B08B9" w14:paraId="3FAAE84B" w14:textId="77777777" w:rsidTr="009A4B94">
        <w:tc>
          <w:tcPr>
            <w:tcW w:w="1101" w:type="dxa"/>
          </w:tcPr>
          <w:p w14:paraId="3FAAE841" w14:textId="77777777" w:rsidR="003B08B9" w:rsidRDefault="003B08B9" w:rsidP="0042585A"/>
        </w:tc>
        <w:tc>
          <w:tcPr>
            <w:tcW w:w="5927" w:type="dxa"/>
          </w:tcPr>
          <w:p w14:paraId="3FAAE842" w14:textId="77777777" w:rsidR="003B08B9" w:rsidRDefault="003B08B9" w:rsidP="00A319CC">
            <w:pPr>
              <w:rPr>
                <w:color w:val="FF0000"/>
              </w:rPr>
            </w:pPr>
            <w:r w:rsidRPr="00111F2F">
              <w:t>With a calibrated thermometer, check the water storage temperature in the level 3 plant room, and record</w:t>
            </w:r>
            <w:r w:rsidRPr="007A0BE9">
              <w:rPr>
                <w:color w:val="FF0000"/>
              </w:rPr>
              <w:t xml:space="preserve">. </w:t>
            </w:r>
          </w:p>
          <w:p w14:paraId="3FAAE843" w14:textId="77777777" w:rsidR="003B08B9" w:rsidRDefault="003B08B9" w:rsidP="00A319CC"/>
        </w:tc>
        <w:tc>
          <w:tcPr>
            <w:tcW w:w="1018" w:type="dxa"/>
          </w:tcPr>
          <w:p w14:paraId="3FAAE844" w14:textId="335B5F73" w:rsidR="003B08B9" w:rsidRDefault="009A4B94" w:rsidP="0066313F">
            <w:pPr>
              <w:jc w:val="center"/>
            </w:pPr>
            <w:r>
              <w:t>Monthly</w:t>
            </w:r>
          </w:p>
          <w:p w14:paraId="3FAAE845" w14:textId="77777777" w:rsidR="003B08B9" w:rsidRDefault="003B08B9" w:rsidP="0066313F">
            <w:pPr>
              <w:jc w:val="center"/>
            </w:pPr>
          </w:p>
        </w:tc>
        <w:tc>
          <w:tcPr>
            <w:tcW w:w="1277" w:type="dxa"/>
          </w:tcPr>
          <w:p w14:paraId="3FAAE846" w14:textId="62186922" w:rsidR="003B08B9" w:rsidRDefault="003B08B9" w:rsidP="0021343D">
            <w:pPr>
              <w:jc w:val="center"/>
            </w:pPr>
          </w:p>
        </w:tc>
        <w:tc>
          <w:tcPr>
            <w:tcW w:w="2836" w:type="dxa"/>
          </w:tcPr>
          <w:p w14:paraId="3FAAE84A" w14:textId="77777777" w:rsidR="003B08B9" w:rsidRPr="00FF2FFA" w:rsidRDefault="003B08B9" w:rsidP="0066313F">
            <w:pPr>
              <w:jc w:val="center"/>
              <w:rPr>
                <w:i/>
              </w:rPr>
            </w:pPr>
          </w:p>
        </w:tc>
      </w:tr>
      <w:tr w:rsidR="003B08B9" w14:paraId="3FAAE855" w14:textId="77777777" w:rsidTr="009A4B94">
        <w:tc>
          <w:tcPr>
            <w:tcW w:w="1101" w:type="dxa"/>
          </w:tcPr>
          <w:p w14:paraId="3FAAE84C" w14:textId="77777777" w:rsidR="003B08B9" w:rsidRDefault="003B08B9" w:rsidP="0042585A"/>
        </w:tc>
        <w:tc>
          <w:tcPr>
            <w:tcW w:w="5927" w:type="dxa"/>
          </w:tcPr>
          <w:p w14:paraId="3FAAE84D" w14:textId="6BC86C50" w:rsidR="003B08B9" w:rsidRPr="00111F2F" w:rsidRDefault="003B08B9" w:rsidP="00A10BCB">
            <w:r w:rsidRPr="00111F2F">
              <w:t xml:space="preserve">If </w:t>
            </w:r>
            <w:r>
              <w:t xml:space="preserve">a </w:t>
            </w:r>
            <w:r w:rsidRPr="00111F2F">
              <w:t xml:space="preserve">chlorine dosing unit (CDU) is operational </w:t>
            </w:r>
            <w:r w:rsidRPr="00C520B2">
              <w:t xml:space="preserve">on site </w:t>
            </w:r>
            <w:r w:rsidRPr="00111F2F">
              <w:t>at the time of the visit, undertake testing at the tank to determine chlorine levels, and record.</w:t>
            </w:r>
          </w:p>
          <w:p w14:paraId="3FAAE84E" w14:textId="77777777" w:rsidR="003B08B9" w:rsidRPr="007A0BE9" w:rsidRDefault="003B08B9" w:rsidP="00A10BCB">
            <w:pPr>
              <w:rPr>
                <w:color w:val="FF0000"/>
              </w:rPr>
            </w:pPr>
          </w:p>
        </w:tc>
        <w:tc>
          <w:tcPr>
            <w:tcW w:w="1018" w:type="dxa"/>
          </w:tcPr>
          <w:p w14:paraId="3FAAE84F" w14:textId="07672EEA" w:rsidR="003B08B9" w:rsidRDefault="009A4B94" w:rsidP="0066313F">
            <w:pPr>
              <w:jc w:val="center"/>
            </w:pPr>
            <w:r w:rsidRPr="009A4B94">
              <w:t>Monthly</w:t>
            </w:r>
          </w:p>
        </w:tc>
        <w:tc>
          <w:tcPr>
            <w:tcW w:w="1277" w:type="dxa"/>
          </w:tcPr>
          <w:p w14:paraId="3FAAE850" w14:textId="5D86372F" w:rsidR="003B08B9" w:rsidRDefault="003B08B9" w:rsidP="0021343D">
            <w:pPr>
              <w:jc w:val="center"/>
            </w:pPr>
          </w:p>
        </w:tc>
        <w:tc>
          <w:tcPr>
            <w:tcW w:w="2836" w:type="dxa"/>
          </w:tcPr>
          <w:p w14:paraId="3FAAE854" w14:textId="77777777" w:rsidR="003B08B9" w:rsidRPr="00FF2FFA" w:rsidRDefault="003B08B9" w:rsidP="0066313F">
            <w:pPr>
              <w:jc w:val="center"/>
              <w:rPr>
                <w:i/>
              </w:rPr>
            </w:pPr>
          </w:p>
        </w:tc>
      </w:tr>
      <w:tr w:rsidR="003B08B9" w14:paraId="3FAAE86F" w14:textId="77777777" w:rsidTr="009A4B94">
        <w:tc>
          <w:tcPr>
            <w:tcW w:w="1101" w:type="dxa"/>
          </w:tcPr>
          <w:p w14:paraId="3FAAE860" w14:textId="77777777" w:rsidR="003B08B9" w:rsidRDefault="003B08B9" w:rsidP="0042585A"/>
        </w:tc>
        <w:tc>
          <w:tcPr>
            <w:tcW w:w="5927" w:type="dxa"/>
          </w:tcPr>
          <w:p w14:paraId="3FAAE861" w14:textId="567DEB8A" w:rsidR="003B08B9" w:rsidRDefault="003B08B9" w:rsidP="00A10BCB">
            <w:r>
              <w:t>Starting with the furthest point and working through the building, identify all outlets to be flushed including: -</w:t>
            </w:r>
          </w:p>
          <w:p w14:paraId="18F0048B" w14:textId="77777777" w:rsidR="003B08B9" w:rsidRDefault="003B08B9" w:rsidP="00A10BCB"/>
          <w:p w14:paraId="3FAAE862" w14:textId="77777777" w:rsidR="003B08B9" w:rsidRDefault="003B08B9" w:rsidP="00A10BCB">
            <w:pPr>
              <w:pStyle w:val="ListParagraph"/>
              <w:numPr>
                <w:ilvl w:val="0"/>
                <w:numId w:val="1"/>
              </w:numPr>
            </w:pPr>
            <w:r>
              <w:t>All tap outlets</w:t>
            </w:r>
          </w:p>
          <w:p w14:paraId="3FAAE863" w14:textId="77777777" w:rsidR="003B08B9" w:rsidRDefault="003B08B9" w:rsidP="00A10BCB">
            <w:pPr>
              <w:pStyle w:val="ListParagraph"/>
              <w:numPr>
                <w:ilvl w:val="0"/>
                <w:numId w:val="1"/>
              </w:numPr>
            </w:pPr>
            <w:r>
              <w:t>Fixed shower heads</w:t>
            </w:r>
          </w:p>
          <w:p w14:paraId="3FAAE864" w14:textId="77777777" w:rsidR="003B08B9" w:rsidRDefault="003B08B9" w:rsidP="00A10BCB">
            <w:pPr>
              <w:pStyle w:val="ListParagraph"/>
              <w:numPr>
                <w:ilvl w:val="0"/>
                <w:numId w:val="1"/>
              </w:numPr>
            </w:pPr>
            <w:r>
              <w:t>Flexible shower heads</w:t>
            </w:r>
          </w:p>
          <w:p w14:paraId="3FAAE865" w14:textId="77777777" w:rsidR="003B08B9" w:rsidRDefault="003B08B9" w:rsidP="00A10BCB">
            <w:pPr>
              <w:pStyle w:val="ListParagraph"/>
              <w:numPr>
                <w:ilvl w:val="0"/>
                <w:numId w:val="1"/>
              </w:numPr>
            </w:pPr>
            <w:r>
              <w:t>Baths</w:t>
            </w:r>
          </w:p>
          <w:p w14:paraId="3FAAE866" w14:textId="77777777" w:rsidR="003B08B9" w:rsidRDefault="003B08B9" w:rsidP="00A10BCB">
            <w:pPr>
              <w:pStyle w:val="ListParagraph"/>
              <w:numPr>
                <w:ilvl w:val="0"/>
                <w:numId w:val="1"/>
              </w:numPr>
            </w:pPr>
            <w:r>
              <w:t>Outlets in communal areas</w:t>
            </w:r>
          </w:p>
          <w:p w14:paraId="25EEC2CF" w14:textId="77777777" w:rsidR="003B08B9" w:rsidRDefault="003B08B9" w:rsidP="00A10BCB">
            <w:pPr>
              <w:pStyle w:val="ListParagraph"/>
              <w:numPr>
                <w:ilvl w:val="0"/>
                <w:numId w:val="1"/>
              </w:numPr>
            </w:pPr>
            <w:r>
              <w:t>Other outlets (e.g. tanks, water coolers, bib taps)</w:t>
            </w:r>
          </w:p>
          <w:p w14:paraId="3FAAE867" w14:textId="37C1EEB1" w:rsidR="003B08B9" w:rsidRDefault="003B08B9" w:rsidP="009D35FF">
            <w:pPr>
              <w:pStyle w:val="ListParagraph"/>
            </w:pPr>
          </w:p>
        </w:tc>
        <w:tc>
          <w:tcPr>
            <w:tcW w:w="1018" w:type="dxa"/>
          </w:tcPr>
          <w:p w14:paraId="3FAAE868" w14:textId="77777777" w:rsidR="003B08B9" w:rsidRDefault="003B08B9" w:rsidP="001F57CB">
            <w:pPr>
              <w:jc w:val="center"/>
            </w:pPr>
            <w:r>
              <w:t>Daily</w:t>
            </w:r>
          </w:p>
          <w:p w14:paraId="3FAAE869" w14:textId="77777777" w:rsidR="003B08B9" w:rsidRDefault="003B08B9" w:rsidP="0066313F">
            <w:pPr>
              <w:jc w:val="center"/>
            </w:pPr>
          </w:p>
        </w:tc>
        <w:tc>
          <w:tcPr>
            <w:tcW w:w="1277" w:type="dxa"/>
          </w:tcPr>
          <w:p w14:paraId="3FAAE86A" w14:textId="00FFED41" w:rsidR="003B08B9" w:rsidRDefault="003B08B9" w:rsidP="0021343D">
            <w:pPr>
              <w:jc w:val="center"/>
            </w:pPr>
          </w:p>
        </w:tc>
        <w:tc>
          <w:tcPr>
            <w:tcW w:w="2836" w:type="dxa"/>
          </w:tcPr>
          <w:p w14:paraId="3FAAE86E" w14:textId="77777777" w:rsidR="003B08B9" w:rsidRPr="00FF2FFA" w:rsidRDefault="003B08B9" w:rsidP="0066313F">
            <w:pPr>
              <w:jc w:val="center"/>
              <w:rPr>
                <w:i/>
              </w:rPr>
            </w:pPr>
          </w:p>
        </w:tc>
      </w:tr>
      <w:tr w:rsidR="003B08B9" w14:paraId="3FAAE87F" w14:textId="77777777" w:rsidTr="009A4B94">
        <w:tc>
          <w:tcPr>
            <w:tcW w:w="1101" w:type="dxa"/>
          </w:tcPr>
          <w:p w14:paraId="3FAAE870" w14:textId="77777777" w:rsidR="003B08B9" w:rsidRDefault="003B08B9" w:rsidP="0042585A"/>
        </w:tc>
        <w:tc>
          <w:tcPr>
            <w:tcW w:w="5927" w:type="dxa"/>
          </w:tcPr>
          <w:p w14:paraId="3FAAE871" w14:textId="4469254B" w:rsidR="003B08B9" w:rsidRDefault="003B08B9" w:rsidP="0066313F">
            <w:r>
              <w:t xml:space="preserve">Starting at the furthest point outlets, flush these outlets </w:t>
            </w:r>
            <w:r w:rsidRPr="00384E38">
              <w:lastRenderedPageBreak/>
              <w:t xml:space="preserve">through for several </w:t>
            </w:r>
            <w:r>
              <w:t xml:space="preserve">minutes (at least 5 minutes) </w:t>
            </w:r>
            <w:r w:rsidRPr="00384E38">
              <w:t>until the temperature stabilises and is comparable to the water supply.</w:t>
            </w:r>
            <w:r>
              <w:t xml:space="preserve"> In each washroom/toilet this would </w:t>
            </w:r>
            <w:proofErr w:type="gramStart"/>
            <w:r>
              <w:t>be:-</w:t>
            </w:r>
            <w:proofErr w:type="gramEnd"/>
          </w:p>
          <w:p w14:paraId="3FAAE872" w14:textId="77777777" w:rsidR="003B08B9" w:rsidRDefault="003B08B9" w:rsidP="00384E38">
            <w:pPr>
              <w:pStyle w:val="ListParagraph"/>
              <w:numPr>
                <w:ilvl w:val="0"/>
                <w:numId w:val="2"/>
              </w:numPr>
            </w:pPr>
            <w:r>
              <w:t xml:space="preserve">The flexible shower head </w:t>
            </w:r>
          </w:p>
          <w:p w14:paraId="3FAAE873" w14:textId="77777777" w:rsidR="003B08B9" w:rsidRDefault="003B08B9" w:rsidP="00384E38">
            <w:pPr>
              <w:pStyle w:val="ListParagraph"/>
              <w:numPr>
                <w:ilvl w:val="0"/>
                <w:numId w:val="2"/>
              </w:numPr>
            </w:pPr>
            <w:r>
              <w:t>The fixed shower head</w:t>
            </w:r>
          </w:p>
          <w:p w14:paraId="3FAAE874" w14:textId="77777777" w:rsidR="003B08B9" w:rsidRDefault="003B08B9" w:rsidP="00384E38">
            <w:pPr>
              <w:pStyle w:val="ListParagraph"/>
              <w:numPr>
                <w:ilvl w:val="0"/>
                <w:numId w:val="2"/>
              </w:numPr>
            </w:pPr>
            <w:r>
              <w:t xml:space="preserve">The tap </w:t>
            </w:r>
          </w:p>
          <w:p w14:paraId="7A278DFF" w14:textId="77777777" w:rsidR="003B08B9" w:rsidRDefault="003B08B9" w:rsidP="0066313F">
            <w:r>
              <w:t>Only 1 room should be flushed at a time. The user shall ensure that on mixer taps, both hot and cold water is being flushed.</w:t>
            </w:r>
          </w:p>
          <w:p w14:paraId="3FAAE875" w14:textId="10C895CD" w:rsidR="003B08B9" w:rsidRDefault="003B08B9" w:rsidP="0066313F"/>
        </w:tc>
        <w:tc>
          <w:tcPr>
            <w:tcW w:w="1018" w:type="dxa"/>
          </w:tcPr>
          <w:p w14:paraId="3FAAE876" w14:textId="77777777" w:rsidR="003B08B9" w:rsidRDefault="003B08B9" w:rsidP="0066313F">
            <w:pPr>
              <w:jc w:val="center"/>
            </w:pPr>
            <w:r>
              <w:lastRenderedPageBreak/>
              <w:t>Daily</w:t>
            </w:r>
          </w:p>
          <w:p w14:paraId="3FAAE877" w14:textId="77777777" w:rsidR="003B08B9" w:rsidRDefault="003B08B9" w:rsidP="0066313F">
            <w:pPr>
              <w:jc w:val="center"/>
            </w:pPr>
          </w:p>
        </w:tc>
        <w:tc>
          <w:tcPr>
            <w:tcW w:w="1277" w:type="dxa"/>
          </w:tcPr>
          <w:p w14:paraId="3FAAE878" w14:textId="753D8EA8" w:rsidR="003B08B9" w:rsidRDefault="003B08B9" w:rsidP="0021343D">
            <w:pPr>
              <w:jc w:val="center"/>
            </w:pPr>
          </w:p>
        </w:tc>
        <w:tc>
          <w:tcPr>
            <w:tcW w:w="2836" w:type="dxa"/>
          </w:tcPr>
          <w:p w14:paraId="3FAAE87E" w14:textId="76AB1D94" w:rsidR="003B08B9" w:rsidRPr="00FF2FFA" w:rsidRDefault="003B08B9" w:rsidP="0066313F">
            <w:pPr>
              <w:jc w:val="center"/>
              <w:rPr>
                <w:i/>
              </w:rPr>
            </w:pPr>
          </w:p>
        </w:tc>
      </w:tr>
      <w:tr w:rsidR="003B08B9" w14:paraId="3FAAE889" w14:textId="77777777" w:rsidTr="009A4B94">
        <w:tc>
          <w:tcPr>
            <w:tcW w:w="1101" w:type="dxa"/>
          </w:tcPr>
          <w:p w14:paraId="3FAAE880" w14:textId="77777777" w:rsidR="003B08B9" w:rsidRDefault="003B08B9" w:rsidP="0066313F"/>
        </w:tc>
        <w:tc>
          <w:tcPr>
            <w:tcW w:w="5927" w:type="dxa"/>
          </w:tcPr>
          <w:p w14:paraId="3FAAE881" w14:textId="77777777" w:rsidR="003B08B9" w:rsidRDefault="003B08B9" w:rsidP="0066313F">
            <w:r w:rsidRPr="00384E38">
              <w:t>Purge to drain immediately without release of aerosols</w:t>
            </w:r>
          </w:p>
        </w:tc>
        <w:tc>
          <w:tcPr>
            <w:tcW w:w="1018" w:type="dxa"/>
          </w:tcPr>
          <w:p w14:paraId="3FAAE882" w14:textId="77777777" w:rsidR="003B08B9" w:rsidRDefault="003B08B9" w:rsidP="0066313F">
            <w:pPr>
              <w:jc w:val="center"/>
            </w:pPr>
            <w:r>
              <w:t>Daily</w:t>
            </w:r>
          </w:p>
          <w:p w14:paraId="3FAAE883" w14:textId="77777777" w:rsidR="003B08B9" w:rsidRDefault="003B08B9" w:rsidP="0066313F">
            <w:pPr>
              <w:jc w:val="center"/>
            </w:pPr>
          </w:p>
        </w:tc>
        <w:tc>
          <w:tcPr>
            <w:tcW w:w="1277" w:type="dxa"/>
          </w:tcPr>
          <w:p w14:paraId="3FAAE884" w14:textId="5596BE23" w:rsidR="003B08B9" w:rsidRDefault="003B08B9" w:rsidP="0021343D">
            <w:pPr>
              <w:jc w:val="center"/>
            </w:pPr>
          </w:p>
        </w:tc>
        <w:tc>
          <w:tcPr>
            <w:tcW w:w="2836" w:type="dxa"/>
          </w:tcPr>
          <w:p w14:paraId="3FAAE888" w14:textId="77777777" w:rsidR="003B08B9" w:rsidRPr="00FF2FFA" w:rsidRDefault="003B08B9" w:rsidP="0066313F">
            <w:pPr>
              <w:tabs>
                <w:tab w:val="left" w:pos="810"/>
              </w:tabs>
              <w:rPr>
                <w:i/>
              </w:rPr>
            </w:pPr>
          </w:p>
        </w:tc>
      </w:tr>
      <w:tr w:rsidR="003B08B9" w14:paraId="3FAAE894" w14:textId="77777777" w:rsidTr="009A4B94">
        <w:tc>
          <w:tcPr>
            <w:tcW w:w="1101" w:type="dxa"/>
          </w:tcPr>
          <w:p w14:paraId="3FAAE88A" w14:textId="77777777" w:rsidR="003B08B9" w:rsidRDefault="003B08B9" w:rsidP="0066313F">
            <w:r>
              <w:t xml:space="preserve"> </w:t>
            </w:r>
          </w:p>
        </w:tc>
        <w:tc>
          <w:tcPr>
            <w:tcW w:w="5927" w:type="dxa"/>
          </w:tcPr>
          <w:p w14:paraId="3FAAE88B" w14:textId="77777777" w:rsidR="003B08B9" w:rsidRDefault="003B08B9" w:rsidP="0021343D">
            <w:r>
              <w:t>Repeat procedure for the next room/outlets branched off the main pipework run until the whole half of the building on that floor is completed (the last outlet flushed should be in the room furthest away from the central riser)</w:t>
            </w:r>
          </w:p>
        </w:tc>
        <w:tc>
          <w:tcPr>
            <w:tcW w:w="1018" w:type="dxa"/>
          </w:tcPr>
          <w:p w14:paraId="3FAAE88C" w14:textId="77777777" w:rsidR="003B08B9" w:rsidRDefault="003B08B9" w:rsidP="001F57CB">
            <w:pPr>
              <w:jc w:val="center"/>
            </w:pPr>
            <w:r>
              <w:t>Daily</w:t>
            </w:r>
          </w:p>
          <w:p w14:paraId="3FAAE88D" w14:textId="77777777" w:rsidR="003B08B9" w:rsidRDefault="003B08B9" w:rsidP="004217B6">
            <w:pPr>
              <w:jc w:val="center"/>
            </w:pPr>
          </w:p>
        </w:tc>
        <w:tc>
          <w:tcPr>
            <w:tcW w:w="1277" w:type="dxa"/>
          </w:tcPr>
          <w:p w14:paraId="3FAAE88E" w14:textId="13093AE1" w:rsidR="003B08B9" w:rsidRDefault="003B08B9" w:rsidP="0021343D">
            <w:pPr>
              <w:jc w:val="center"/>
            </w:pPr>
          </w:p>
        </w:tc>
        <w:tc>
          <w:tcPr>
            <w:tcW w:w="2836" w:type="dxa"/>
          </w:tcPr>
          <w:p w14:paraId="3FAAE893" w14:textId="1D9AAD9B" w:rsidR="003B08B9" w:rsidRPr="00FF2FFA" w:rsidRDefault="003B08B9" w:rsidP="00223053">
            <w:pPr>
              <w:jc w:val="center"/>
              <w:rPr>
                <w:i/>
              </w:rPr>
            </w:pPr>
          </w:p>
        </w:tc>
      </w:tr>
      <w:tr w:rsidR="003B08B9" w14:paraId="3FAAE89E" w14:textId="77777777" w:rsidTr="009A4B94">
        <w:tc>
          <w:tcPr>
            <w:tcW w:w="1101" w:type="dxa"/>
          </w:tcPr>
          <w:p w14:paraId="3FAAE895" w14:textId="77777777" w:rsidR="003B08B9" w:rsidRDefault="003B08B9" w:rsidP="0066313F"/>
        </w:tc>
        <w:tc>
          <w:tcPr>
            <w:tcW w:w="5927" w:type="dxa"/>
          </w:tcPr>
          <w:p w14:paraId="3FAAE896" w14:textId="77777777" w:rsidR="003B08B9" w:rsidRDefault="003B08B9" w:rsidP="0021343D">
            <w:r>
              <w:t>Repeat for the opposite half on the second floor</w:t>
            </w:r>
          </w:p>
        </w:tc>
        <w:tc>
          <w:tcPr>
            <w:tcW w:w="1018" w:type="dxa"/>
          </w:tcPr>
          <w:p w14:paraId="3FAAE897" w14:textId="77777777" w:rsidR="003B08B9" w:rsidRDefault="003B08B9" w:rsidP="004217B6">
            <w:pPr>
              <w:jc w:val="center"/>
            </w:pPr>
            <w:r>
              <w:t>Daily</w:t>
            </w:r>
          </w:p>
          <w:p w14:paraId="3FAAE898" w14:textId="77777777" w:rsidR="003B08B9" w:rsidRDefault="003B08B9" w:rsidP="004217B6">
            <w:pPr>
              <w:jc w:val="center"/>
            </w:pPr>
          </w:p>
        </w:tc>
        <w:tc>
          <w:tcPr>
            <w:tcW w:w="1277" w:type="dxa"/>
          </w:tcPr>
          <w:p w14:paraId="3FAAE899" w14:textId="64248E5F" w:rsidR="003B08B9" w:rsidRPr="00640FAE" w:rsidRDefault="003B08B9" w:rsidP="0021343D">
            <w:pPr>
              <w:jc w:val="center"/>
            </w:pPr>
          </w:p>
        </w:tc>
        <w:tc>
          <w:tcPr>
            <w:tcW w:w="2836" w:type="dxa"/>
          </w:tcPr>
          <w:p w14:paraId="3FAAE89D" w14:textId="6BD87C07" w:rsidR="003B08B9" w:rsidRPr="00FF2FFA" w:rsidRDefault="003B08B9" w:rsidP="00223053">
            <w:pPr>
              <w:jc w:val="center"/>
              <w:rPr>
                <w:i/>
              </w:rPr>
            </w:pPr>
          </w:p>
        </w:tc>
      </w:tr>
      <w:tr w:rsidR="003B08B9" w14:paraId="3FAAE8A9" w14:textId="77777777" w:rsidTr="009A4B94">
        <w:tc>
          <w:tcPr>
            <w:tcW w:w="1101" w:type="dxa"/>
          </w:tcPr>
          <w:p w14:paraId="3FAAE89F" w14:textId="77777777" w:rsidR="003B08B9" w:rsidRDefault="003B08B9" w:rsidP="0066313F"/>
        </w:tc>
        <w:tc>
          <w:tcPr>
            <w:tcW w:w="5927" w:type="dxa"/>
          </w:tcPr>
          <w:p w14:paraId="3FAAE8A0" w14:textId="77777777" w:rsidR="003B08B9" w:rsidRDefault="003B08B9" w:rsidP="00223053">
            <w:r>
              <w:t>Repeat on the first floor and then ground floor, ensuring items such as the supply to the greywater tank and bin store tank.</w:t>
            </w:r>
          </w:p>
        </w:tc>
        <w:tc>
          <w:tcPr>
            <w:tcW w:w="1018" w:type="dxa"/>
          </w:tcPr>
          <w:p w14:paraId="3FAAE8A1" w14:textId="77777777" w:rsidR="003B08B9" w:rsidRDefault="003B08B9" w:rsidP="004217B6">
            <w:pPr>
              <w:jc w:val="center"/>
            </w:pPr>
            <w:r>
              <w:t>Daily</w:t>
            </w:r>
          </w:p>
          <w:p w14:paraId="3FAAE8A2" w14:textId="77777777" w:rsidR="003B08B9" w:rsidRDefault="003B08B9" w:rsidP="004217B6">
            <w:pPr>
              <w:jc w:val="center"/>
            </w:pPr>
          </w:p>
          <w:p w14:paraId="3FAAE8A3" w14:textId="77777777" w:rsidR="003B08B9" w:rsidRDefault="003B08B9" w:rsidP="004217B6">
            <w:pPr>
              <w:jc w:val="center"/>
            </w:pPr>
          </w:p>
        </w:tc>
        <w:tc>
          <w:tcPr>
            <w:tcW w:w="1277" w:type="dxa"/>
          </w:tcPr>
          <w:p w14:paraId="3FAAE8A4" w14:textId="6976BB09" w:rsidR="003B08B9" w:rsidRPr="00640FAE" w:rsidRDefault="003B08B9" w:rsidP="0021343D">
            <w:pPr>
              <w:jc w:val="center"/>
            </w:pPr>
          </w:p>
        </w:tc>
        <w:tc>
          <w:tcPr>
            <w:tcW w:w="2836" w:type="dxa"/>
          </w:tcPr>
          <w:p w14:paraId="3FAAE8A8" w14:textId="6B1B190B" w:rsidR="003B08B9" w:rsidRPr="00FF2FFA" w:rsidRDefault="003B08B9" w:rsidP="00223053">
            <w:pPr>
              <w:jc w:val="center"/>
              <w:rPr>
                <w:i/>
              </w:rPr>
            </w:pPr>
          </w:p>
        </w:tc>
      </w:tr>
      <w:tr w:rsidR="003B08B9" w14:paraId="3FAAE8B3" w14:textId="77777777" w:rsidTr="009A4B94">
        <w:tc>
          <w:tcPr>
            <w:tcW w:w="1101" w:type="dxa"/>
          </w:tcPr>
          <w:p w14:paraId="3FAAE8AA" w14:textId="77777777" w:rsidR="003B08B9" w:rsidRDefault="003B08B9" w:rsidP="00D72F97"/>
        </w:tc>
        <w:tc>
          <w:tcPr>
            <w:tcW w:w="5927" w:type="dxa"/>
          </w:tcPr>
          <w:p w14:paraId="67F65519" w14:textId="77777777" w:rsidR="003B08B9" w:rsidRDefault="003B08B9" w:rsidP="00D72F97">
            <w:r w:rsidRPr="006006C4">
              <w:t>If the CDU is operational at the time of flushing, tests of the chlorine levels should also be completed and recorded in rooms (4 per wing) to confirm adequate distribution to terminal outlets. Levels must be recorded. If chlorine dosing is manual, levels must be topped up after each wing on each floor.</w:t>
            </w:r>
          </w:p>
          <w:p w14:paraId="3FAAE8AB" w14:textId="63DE7333" w:rsidR="00D57050" w:rsidRPr="006006C4" w:rsidRDefault="00D57050" w:rsidP="00D72F97"/>
        </w:tc>
        <w:tc>
          <w:tcPr>
            <w:tcW w:w="1018" w:type="dxa"/>
          </w:tcPr>
          <w:p w14:paraId="3FAAE8AD" w14:textId="03BECB75" w:rsidR="003B08B9" w:rsidRDefault="009A4B94" w:rsidP="009A4B94">
            <w:pPr>
              <w:jc w:val="center"/>
            </w:pPr>
            <w:r w:rsidRPr="009A4B94">
              <w:t>Monthly</w:t>
            </w:r>
          </w:p>
        </w:tc>
        <w:tc>
          <w:tcPr>
            <w:tcW w:w="1277" w:type="dxa"/>
          </w:tcPr>
          <w:p w14:paraId="3FAAE8AE" w14:textId="0AF23106" w:rsidR="003B08B9" w:rsidRPr="00640FAE" w:rsidRDefault="003B08B9" w:rsidP="00D72F97">
            <w:pPr>
              <w:jc w:val="center"/>
            </w:pPr>
          </w:p>
        </w:tc>
        <w:tc>
          <w:tcPr>
            <w:tcW w:w="2836" w:type="dxa"/>
          </w:tcPr>
          <w:p w14:paraId="3FAAE8B2" w14:textId="099CA89F" w:rsidR="003B08B9" w:rsidRPr="00FF2FFA" w:rsidRDefault="003B08B9" w:rsidP="00A319CC">
            <w:pPr>
              <w:jc w:val="center"/>
              <w:rPr>
                <w:i/>
              </w:rPr>
            </w:pPr>
          </w:p>
        </w:tc>
      </w:tr>
      <w:tr w:rsidR="003B08B9" w14:paraId="3FAAE8BC" w14:textId="77777777" w:rsidTr="009A4B94">
        <w:tc>
          <w:tcPr>
            <w:tcW w:w="1101" w:type="dxa"/>
          </w:tcPr>
          <w:p w14:paraId="3FAAE8B4" w14:textId="77777777" w:rsidR="003B08B9" w:rsidRPr="00BE7471" w:rsidRDefault="003B08B9" w:rsidP="00223053">
            <w:pPr>
              <w:rPr>
                <w:b/>
                <w:sz w:val="24"/>
                <w:szCs w:val="24"/>
              </w:rPr>
            </w:pPr>
            <w:r>
              <w:rPr>
                <w:b/>
                <w:sz w:val="24"/>
                <w:szCs w:val="24"/>
              </w:rPr>
              <w:t>Phase 3</w:t>
            </w:r>
          </w:p>
        </w:tc>
        <w:tc>
          <w:tcPr>
            <w:tcW w:w="5927" w:type="dxa"/>
          </w:tcPr>
          <w:p w14:paraId="3FAAE8B5" w14:textId="77777777" w:rsidR="003B08B9" w:rsidRDefault="003B08B9" w:rsidP="00F8528A"/>
        </w:tc>
        <w:tc>
          <w:tcPr>
            <w:tcW w:w="1018" w:type="dxa"/>
          </w:tcPr>
          <w:p w14:paraId="3FAAE8B6" w14:textId="77777777" w:rsidR="003B08B9" w:rsidRPr="00F8528A" w:rsidRDefault="003B08B9" w:rsidP="004217B6">
            <w:pPr>
              <w:jc w:val="center"/>
            </w:pPr>
          </w:p>
        </w:tc>
        <w:tc>
          <w:tcPr>
            <w:tcW w:w="1277" w:type="dxa"/>
          </w:tcPr>
          <w:p w14:paraId="3FAAE8B7" w14:textId="77777777" w:rsidR="003B08B9" w:rsidRDefault="003B08B9" w:rsidP="0021343D">
            <w:pPr>
              <w:jc w:val="center"/>
            </w:pPr>
          </w:p>
        </w:tc>
        <w:tc>
          <w:tcPr>
            <w:tcW w:w="2836" w:type="dxa"/>
          </w:tcPr>
          <w:p w14:paraId="3FAAE8BB" w14:textId="77777777" w:rsidR="003B08B9" w:rsidRPr="00FF2FFA" w:rsidRDefault="003B08B9" w:rsidP="00F8528A">
            <w:pPr>
              <w:jc w:val="center"/>
              <w:rPr>
                <w:i/>
              </w:rPr>
            </w:pPr>
          </w:p>
        </w:tc>
      </w:tr>
      <w:tr w:rsidR="003B08B9" w14:paraId="3FAAE8C7" w14:textId="77777777" w:rsidTr="009A4B94">
        <w:tc>
          <w:tcPr>
            <w:tcW w:w="1101" w:type="dxa"/>
          </w:tcPr>
          <w:p w14:paraId="3FAAE8BD" w14:textId="77777777" w:rsidR="003B08B9" w:rsidRDefault="003B08B9" w:rsidP="00223053"/>
        </w:tc>
        <w:tc>
          <w:tcPr>
            <w:tcW w:w="5927" w:type="dxa"/>
          </w:tcPr>
          <w:p w14:paraId="3FAAE8BE" w14:textId="77777777" w:rsidR="003B08B9" w:rsidRDefault="003B08B9" w:rsidP="00F8528A">
            <w:r>
              <w:t>Complete site log sheet, including dates and signatures</w:t>
            </w:r>
          </w:p>
        </w:tc>
        <w:tc>
          <w:tcPr>
            <w:tcW w:w="1018" w:type="dxa"/>
          </w:tcPr>
          <w:p w14:paraId="3FAAE8BF" w14:textId="77777777" w:rsidR="003B08B9" w:rsidRDefault="003B08B9" w:rsidP="004217B6">
            <w:pPr>
              <w:jc w:val="center"/>
            </w:pPr>
            <w:r>
              <w:t>Daily</w:t>
            </w:r>
          </w:p>
          <w:p w14:paraId="3FAAE8C0" w14:textId="77777777" w:rsidR="003B08B9" w:rsidRDefault="003B08B9" w:rsidP="004217B6">
            <w:pPr>
              <w:jc w:val="center"/>
            </w:pPr>
          </w:p>
        </w:tc>
        <w:tc>
          <w:tcPr>
            <w:tcW w:w="1277" w:type="dxa"/>
          </w:tcPr>
          <w:p w14:paraId="3FAAE8C2" w14:textId="34F41E80" w:rsidR="003B08B9" w:rsidRPr="000D2173" w:rsidRDefault="003B08B9" w:rsidP="0021343D">
            <w:pPr>
              <w:jc w:val="center"/>
            </w:pPr>
          </w:p>
        </w:tc>
        <w:tc>
          <w:tcPr>
            <w:tcW w:w="2836" w:type="dxa"/>
          </w:tcPr>
          <w:p w14:paraId="3FAAE8C6" w14:textId="59FD8558" w:rsidR="003B08B9" w:rsidRPr="00FF2FFA" w:rsidRDefault="003B08B9" w:rsidP="00F8528A">
            <w:pPr>
              <w:jc w:val="center"/>
              <w:rPr>
                <w:i/>
              </w:rPr>
            </w:pPr>
          </w:p>
        </w:tc>
      </w:tr>
      <w:tr w:rsidR="003B08B9" w14:paraId="3FAAE8D2" w14:textId="77777777" w:rsidTr="009A4B94">
        <w:tc>
          <w:tcPr>
            <w:tcW w:w="1101" w:type="dxa"/>
          </w:tcPr>
          <w:p w14:paraId="3FAAE8C8" w14:textId="77777777" w:rsidR="003B08B9" w:rsidRDefault="003B08B9" w:rsidP="0042585A"/>
        </w:tc>
        <w:tc>
          <w:tcPr>
            <w:tcW w:w="5927" w:type="dxa"/>
          </w:tcPr>
          <w:p w14:paraId="3FAAE8C9" w14:textId="77777777" w:rsidR="003B08B9" w:rsidRPr="00B92DFB" w:rsidRDefault="003B08B9" w:rsidP="0042585A">
            <w:r>
              <w:t>Ensure the log sheet is filed in the correct location on site</w:t>
            </w:r>
          </w:p>
        </w:tc>
        <w:tc>
          <w:tcPr>
            <w:tcW w:w="1018" w:type="dxa"/>
          </w:tcPr>
          <w:p w14:paraId="3FAAE8CA" w14:textId="77777777" w:rsidR="003B08B9" w:rsidRDefault="003B08B9" w:rsidP="004217B6">
            <w:pPr>
              <w:jc w:val="center"/>
            </w:pPr>
            <w:r>
              <w:t>Daily</w:t>
            </w:r>
          </w:p>
          <w:p w14:paraId="3FAAE8CB" w14:textId="77777777" w:rsidR="003B08B9" w:rsidRPr="00F8528A" w:rsidRDefault="003B08B9" w:rsidP="004217B6">
            <w:pPr>
              <w:jc w:val="center"/>
            </w:pPr>
          </w:p>
        </w:tc>
        <w:tc>
          <w:tcPr>
            <w:tcW w:w="1277" w:type="dxa"/>
          </w:tcPr>
          <w:p w14:paraId="3FAAE8CD" w14:textId="2EDC7BB8" w:rsidR="003B08B9" w:rsidRPr="000D2173" w:rsidRDefault="003B08B9" w:rsidP="0021343D">
            <w:pPr>
              <w:jc w:val="center"/>
            </w:pPr>
          </w:p>
        </w:tc>
        <w:tc>
          <w:tcPr>
            <w:tcW w:w="2836" w:type="dxa"/>
          </w:tcPr>
          <w:p w14:paraId="3FAAE8D1" w14:textId="77777777" w:rsidR="003B08B9" w:rsidRPr="00FF2FFA" w:rsidRDefault="003B08B9" w:rsidP="0066313F">
            <w:pPr>
              <w:jc w:val="center"/>
              <w:rPr>
                <w:i/>
              </w:rPr>
            </w:pPr>
          </w:p>
        </w:tc>
      </w:tr>
      <w:tr w:rsidR="003B08B9" w14:paraId="3FAAE8DC" w14:textId="77777777" w:rsidTr="009A4B94">
        <w:tc>
          <w:tcPr>
            <w:tcW w:w="1101" w:type="dxa"/>
          </w:tcPr>
          <w:p w14:paraId="3FAAE8D3" w14:textId="77777777" w:rsidR="003B08B9" w:rsidRDefault="003B08B9" w:rsidP="0042585A"/>
        </w:tc>
        <w:tc>
          <w:tcPr>
            <w:tcW w:w="5927" w:type="dxa"/>
          </w:tcPr>
          <w:p w14:paraId="3FAAE8D4" w14:textId="7A9D8B88" w:rsidR="003B08B9" w:rsidRDefault="003B08B9" w:rsidP="0042585A">
            <w:r w:rsidRPr="00B92DFB">
              <w:t xml:space="preserve">Any defects that require urgent attention are to be reported </w:t>
            </w:r>
            <w:r w:rsidRPr="00B92DFB">
              <w:lastRenderedPageBreak/>
              <w:t>directly to the responsible site engineer.</w:t>
            </w:r>
            <w:r w:rsidR="004130FE">
              <w:rPr>
                <w:i/>
              </w:rPr>
              <w:t xml:space="preserve"> </w:t>
            </w:r>
            <w:r w:rsidR="004130FE">
              <w:rPr>
                <w:i/>
              </w:rPr>
              <w:t>Log sheets are retained on site</w:t>
            </w:r>
          </w:p>
        </w:tc>
        <w:tc>
          <w:tcPr>
            <w:tcW w:w="1018" w:type="dxa"/>
          </w:tcPr>
          <w:p w14:paraId="3FAAE8D5" w14:textId="77777777" w:rsidR="003B08B9" w:rsidRDefault="003B08B9" w:rsidP="004217B6">
            <w:pPr>
              <w:jc w:val="center"/>
            </w:pPr>
            <w:r>
              <w:lastRenderedPageBreak/>
              <w:t>Dai</w:t>
            </w:r>
            <w:r w:rsidRPr="00F8528A">
              <w:t>ly</w:t>
            </w:r>
          </w:p>
        </w:tc>
        <w:tc>
          <w:tcPr>
            <w:tcW w:w="1277" w:type="dxa"/>
          </w:tcPr>
          <w:p w14:paraId="3FAAE8D7" w14:textId="72A98EF4" w:rsidR="003B08B9" w:rsidRPr="000D2173" w:rsidRDefault="003B08B9" w:rsidP="0021343D">
            <w:pPr>
              <w:jc w:val="center"/>
            </w:pPr>
          </w:p>
        </w:tc>
        <w:tc>
          <w:tcPr>
            <w:tcW w:w="2836" w:type="dxa"/>
          </w:tcPr>
          <w:p w14:paraId="3FAAE8DB" w14:textId="04D0C7D4" w:rsidR="003B08B9" w:rsidRPr="00FF2FFA" w:rsidRDefault="003B08B9" w:rsidP="0066313F">
            <w:pPr>
              <w:jc w:val="center"/>
              <w:rPr>
                <w:i/>
              </w:rPr>
            </w:pPr>
          </w:p>
        </w:tc>
      </w:tr>
      <w:tr w:rsidR="003B08B9" w14:paraId="3FAAE8E6" w14:textId="77777777" w:rsidTr="009A4B94">
        <w:tc>
          <w:tcPr>
            <w:tcW w:w="1101" w:type="dxa"/>
          </w:tcPr>
          <w:p w14:paraId="3FAAE8DD" w14:textId="77777777" w:rsidR="003B08B9" w:rsidRDefault="003B08B9" w:rsidP="00F8528A"/>
        </w:tc>
        <w:tc>
          <w:tcPr>
            <w:tcW w:w="5927" w:type="dxa"/>
          </w:tcPr>
          <w:p w14:paraId="3FAAE8DE" w14:textId="0A480750" w:rsidR="003B08B9" w:rsidRDefault="003B08B9" w:rsidP="00F8528A">
            <w:r w:rsidRPr="00B92DFB">
              <w:t xml:space="preserve">Prepare a domestic water service report on final completion of the works on site. Service report must be signed by the </w:t>
            </w:r>
            <w:r w:rsidR="009D35FF">
              <w:t>Contractor</w:t>
            </w:r>
            <w:r w:rsidRPr="00B92DFB">
              <w:t xml:space="preserve"> representative and the responsible site engineer.</w:t>
            </w:r>
          </w:p>
        </w:tc>
        <w:tc>
          <w:tcPr>
            <w:tcW w:w="1018" w:type="dxa"/>
          </w:tcPr>
          <w:p w14:paraId="3FAAE8DF" w14:textId="77777777" w:rsidR="003B08B9" w:rsidRDefault="003B08B9" w:rsidP="004217B6">
            <w:pPr>
              <w:jc w:val="center"/>
            </w:pPr>
            <w:r>
              <w:t>Daily</w:t>
            </w:r>
          </w:p>
          <w:p w14:paraId="3FAAE8E0" w14:textId="77777777" w:rsidR="003B08B9" w:rsidRDefault="003B08B9" w:rsidP="004217B6">
            <w:pPr>
              <w:jc w:val="center"/>
            </w:pPr>
          </w:p>
        </w:tc>
        <w:tc>
          <w:tcPr>
            <w:tcW w:w="1277" w:type="dxa"/>
          </w:tcPr>
          <w:p w14:paraId="3FAAE8E1" w14:textId="6DDE0C8A" w:rsidR="003B08B9" w:rsidRPr="000D2173" w:rsidRDefault="003B08B9" w:rsidP="0021343D">
            <w:pPr>
              <w:jc w:val="center"/>
            </w:pPr>
          </w:p>
        </w:tc>
        <w:tc>
          <w:tcPr>
            <w:tcW w:w="2836" w:type="dxa"/>
          </w:tcPr>
          <w:p w14:paraId="3FAAE8E5" w14:textId="77777777" w:rsidR="003B08B9" w:rsidRPr="00FF2FFA" w:rsidRDefault="003B08B9" w:rsidP="00CF609A">
            <w:pPr>
              <w:tabs>
                <w:tab w:val="left" w:pos="540"/>
              </w:tabs>
              <w:jc w:val="center"/>
              <w:rPr>
                <w:i/>
              </w:rPr>
            </w:pPr>
          </w:p>
        </w:tc>
      </w:tr>
      <w:tr w:rsidR="003B08B9" w14:paraId="3FAAE8F0" w14:textId="77777777" w:rsidTr="009A4B94">
        <w:tc>
          <w:tcPr>
            <w:tcW w:w="1101" w:type="dxa"/>
          </w:tcPr>
          <w:p w14:paraId="3FAAE8E7" w14:textId="77777777" w:rsidR="003B08B9" w:rsidRDefault="003B08B9" w:rsidP="00F8528A"/>
        </w:tc>
        <w:tc>
          <w:tcPr>
            <w:tcW w:w="5927" w:type="dxa"/>
          </w:tcPr>
          <w:p w14:paraId="3FAAE8E8" w14:textId="77777777" w:rsidR="003B08B9" w:rsidRDefault="003B08B9" w:rsidP="00F8528A">
            <w:r w:rsidRPr="00B92DFB">
              <w:t>Sign out in accordance with site procedures. Return any keys that may have been used.</w:t>
            </w:r>
          </w:p>
        </w:tc>
        <w:tc>
          <w:tcPr>
            <w:tcW w:w="1018" w:type="dxa"/>
          </w:tcPr>
          <w:p w14:paraId="3FAAE8E9" w14:textId="77777777" w:rsidR="003B08B9" w:rsidRDefault="003B08B9" w:rsidP="004217B6">
            <w:pPr>
              <w:jc w:val="center"/>
            </w:pPr>
            <w:r>
              <w:t>Daily</w:t>
            </w:r>
          </w:p>
          <w:p w14:paraId="3FAAE8EA" w14:textId="77777777" w:rsidR="003B08B9" w:rsidRDefault="003B08B9" w:rsidP="004217B6">
            <w:pPr>
              <w:jc w:val="center"/>
            </w:pPr>
          </w:p>
        </w:tc>
        <w:tc>
          <w:tcPr>
            <w:tcW w:w="1277" w:type="dxa"/>
          </w:tcPr>
          <w:p w14:paraId="3FAAE8EB" w14:textId="7A940B88" w:rsidR="003B08B9" w:rsidRPr="000D2173" w:rsidRDefault="003B08B9" w:rsidP="0021343D">
            <w:pPr>
              <w:jc w:val="center"/>
            </w:pPr>
          </w:p>
        </w:tc>
        <w:tc>
          <w:tcPr>
            <w:tcW w:w="2836" w:type="dxa"/>
          </w:tcPr>
          <w:p w14:paraId="3FAAE8EF" w14:textId="6DF179E7" w:rsidR="003B08B9" w:rsidRPr="00FF2FFA" w:rsidRDefault="003B08B9" w:rsidP="0066313F">
            <w:pPr>
              <w:jc w:val="center"/>
              <w:rPr>
                <w:i/>
              </w:rPr>
            </w:pPr>
          </w:p>
        </w:tc>
      </w:tr>
    </w:tbl>
    <w:p w14:paraId="3FAAE8F1" w14:textId="77777777" w:rsidR="0042585A" w:rsidRDefault="0042585A"/>
    <w:sectPr w:rsidR="0042585A" w:rsidSect="004258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943AC"/>
    <w:multiLevelType w:val="hybridMultilevel"/>
    <w:tmpl w:val="AEDC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E13EB"/>
    <w:multiLevelType w:val="hybridMultilevel"/>
    <w:tmpl w:val="D6A29F08"/>
    <w:lvl w:ilvl="0" w:tplc="1EB2F9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D9403F"/>
    <w:multiLevelType w:val="hybridMultilevel"/>
    <w:tmpl w:val="D758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85A"/>
    <w:rsid w:val="0004107B"/>
    <w:rsid w:val="00066D20"/>
    <w:rsid w:val="000742A5"/>
    <w:rsid w:val="000D0233"/>
    <w:rsid w:val="000D2173"/>
    <w:rsid w:val="00111348"/>
    <w:rsid w:val="00111F2F"/>
    <w:rsid w:val="00115EDD"/>
    <w:rsid w:val="001424B9"/>
    <w:rsid w:val="00165EFA"/>
    <w:rsid w:val="001F57CB"/>
    <w:rsid w:val="0021343D"/>
    <w:rsid w:val="00223053"/>
    <w:rsid w:val="002B596D"/>
    <w:rsid w:val="003314B7"/>
    <w:rsid w:val="00381CB6"/>
    <w:rsid w:val="00384E38"/>
    <w:rsid w:val="003B08B9"/>
    <w:rsid w:val="003B315B"/>
    <w:rsid w:val="003C534F"/>
    <w:rsid w:val="004130FE"/>
    <w:rsid w:val="004217B6"/>
    <w:rsid w:val="0042585A"/>
    <w:rsid w:val="004F46C1"/>
    <w:rsid w:val="00525988"/>
    <w:rsid w:val="005C0BC1"/>
    <w:rsid w:val="006006C4"/>
    <w:rsid w:val="00640FAE"/>
    <w:rsid w:val="0066313F"/>
    <w:rsid w:val="006D64D5"/>
    <w:rsid w:val="006E00E6"/>
    <w:rsid w:val="00722633"/>
    <w:rsid w:val="007A0BE9"/>
    <w:rsid w:val="007B52DB"/>
    <w:rsid w:val="00814CDD"/>
    <w:rsid w:val="00876671"/>
    <w:rsid w:val="008E3850"/>
    <w:rsid w:val="008E4804"/>
    <w:rsid w:val="009044AB"/>
    <w:rsid w:val="009A4B94"/>
    <w:rsid w:val="009D35FF"/>
    <w:rsid w:val="00A10BCB"/>
    <w:rsid w:val="00A319CC"/>
    <w:rsid w:val="00A375B7"/>
    <w:rsid w:val="00A4556E"/>
    <w:rsid w:val="00B65424"/>
    <w:rsid w:val="00B92DFB"/>
    <w:rsid w:val="00BD222F"/>
    <w:rsid w:val="00BE7471"/>
    <w:rsid w:val="00BF1CE3"/>
    <w:rsid w:val="00C520B2"/>
    <w:rsid w:val="00CC20FA"/>
    <w:rsid w:val="00CF3142"/>
    <w:rsid w:val="00CF609A"/>
    <w:rsid w:val="00D57050"/>
    <w:rsid w:val="00E130D5"/>
    <w:rsid w:val="00E638E0"/>
    <w:rsid w:val="00ED6F4B"/>
    <w:rsid w:val="00F8528A"/>
    <w:rsid w:val="00FE07C4"/>
    <w:rsid w:val="00FE0E0C"/>
    <w:rsid w:val="00FF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E810"/>
  <w15:docId w15:val="{4A964F6D-F27E-4790-9D27-99279E6C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2F"/>
    <w:rPr>
      <w:rFonts w:ascii="Tahoma" w:hAnsi="Tahoma" w:cs="Tahoma"/>
      <w:sz w:val="16"/>
      <w:szCs w:val="16"/>
    </w:rPr>
  </w:style>
  <w:style w:type="paragraph" w:styleId="ListParagraph">
    <w:name w:val="List Paragraph"/>
    <w:basedOn w:val="Normal"/>
    <w:uiPriority w:val="34"/>
    <w:qFormat/>
    <w:rsid w:val="00A10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Campbell</dc:creator>
  <cp:lastModifiedBy>David Campbell</cp:lastModifiedBy>
  <cp:revision>21</cp:revision>
  <dcterms:created xsi:type="dcterms:W3CDTF">2020-04-24T13:50:00Z</dcterms:created>
  <dcterms:modified xsi:type="dcterms:W3CDTF">2020-04-24T14:04:00Z</dcterms:modified>
</cp:coreProperties>
</file>