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1798"/>
        <w:gridCol w:w="1537"/>
        <w:gridCol w:w="4179"/>
        <w:gridCol w:w="1553"/>
        <w:gridCol w:w="1276"/>
        <w:gridCol w:w="1276"/>
        <w:gridCol w:w="2329"/>
      </w:tblGrid>
      <w:tr w:rsidR="00A64860" w:rsidTr="00A64860">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4860" w:rsidRDefault="00A64860">
            <w:pPr>
              <w:spacing w:line="240" w:lineRule="auto"/>
              <w:rPr>
                <w:rFonts w:asciiTheme="majorHAnsi" w:hAnsiTheme="majorHAnsi" w:cstheme="majorHAnsi"/>
                <w:b/>
                <w:sz w:val="16"/>
                <w:szCs w:val="16"/>
              </w:rPr>
            </w:pPr>
            <w:r>
              <w:rPr>
                <w:rFonts w:asciiTheme="majorHAnsi" w:hAnsiTheme="majorHAnsi" w:cstheme="majorHAnsi"/>
                <w:b/>
                <w:sz w:val="16"/>
                <w:szCs w:val="16"/>
              </w:rPr>
              <w:t>What are the hazards?</w:t>
            </w: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4860" w:rsidRDefault="00A64860">
            <w:pPr>
              <w:spacing w:line="240" w:lineRule="auto"/>
              <w:rPr>
                <w:rFonts w:asciiTheme="majorHAnsi" w:hAnsiTheme="majorHAnsi" w:cstheme="majorHAnsi"/>
                <w:b/>
                <w:sz w:val="16"/>
                <w:szCs w:val="16"/>
              </w:rPr>
            </w:pPr>
            <w:r>
              <w:rPr>
                <w:rFonts w:asciiTheme="majorHAnsi" w:hAnsiTheme="majorHAnsi" w:cstheme="majorHAnsi"/>
                <w:b/>
                <w:sz w:val="16"/>
                <w:szCs w:val="16"/>
              </w:rPr>
              <w:t>Who might be harmed and how?</w:t>
            </w:r>
          </w:p>
        </w:tc>
        <w:tc>
          <w:tcPr>
            <w:tcW w:w="4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4860" w:rsidRDefault="00A64860">
            <w:pPr>
              <w:spacing w:line="240" w:lineRule="auto"/>
              <w:rPr>
                <w:rFonts w:asciiTheme="majorHAnsi" w:hAnsiTheme="majorHAnsi" w:cstheme="majorHAnsi"/>
                <w:b/>
                <w:sz w:val="16"/>
                <w:szCs w:val="16"/>
              </w:rPr>
            </w:pPr>
            <w:r>
              <w:rPr>
                <w:rFonts w:asciiTheme="majorHAnsi" w:hAnsiTheme="majorHAnsi" w:cstheme="majorHAnsi"/>
                <w:b/>
                <w:sz w:val="16"/>
                <w:szCs w:val="16"/>
              </w:rPr>
              <w:t>What are we doing to control the risk?</w:t>
            </w: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4860" w:rsidRDefault="00A64860">
            <w:pPr>
              <w:spacing w:line="240" w:lineRule="auto"/>
              <w:rPr>
                <w:rFonts w:asciiTheme="majorHAnsi" w:hAnsiTheme="majorHAnsi" w:cstheme="majorHAnsi"/>
                <w:b/>
                <w:sz w:val="16"/>
                <w:szCs w:val="16"/>
              </w:rPr>
            </w:pPr>
            <w:r>
              <w:rPr>
                <w:rFonts w:asciiTheme="majorHAnsi" w:hAnsiTheme="majorHAnsi" w:cstheme="majorHAnsi"/>
                <w:b/>
                <w:sz w:val="16"/>
                <w:szCs w:val="16"/>
              </w:rPr>
              <w:t>What further action is needed to control the risks?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4860" w:rsidRDefault="00A64860">
            <w:pPr>
              <w:spacing w:line="240" w:lineRule="auto"/>
              <w:rPr>
                <w:rFonts w:asciiTheme="majorHAnsi" w:hAnsiTheme="majorHAnsi" w:cstheme="majorHAnsi"/>
                <w:b/>
                <w:sz w:val="16"/>
                <w:szCs w:val="16"/>
              </w:rPr>
            </w:pPr>
            <w:r>
              <w:rPr>
                <w:rFonts w:asciiTheme="majorHAnsi" w:hAnsiTheme="majorHAnsi" w:cstheme="majorHAnsi"/>
                <w:b/>
                <w:sz w:val="16"/>
                <w:szCs w:val="16"/>
              </w:rPr>
              <w:t>Who needs to carry out the action?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4860" w:rsidRDefault="00A64860">
            <w:pPr>
              <w:spacing w:line="240" w:lineRule="auto"/>
              <w:rPr>
                <w:rFonts w:asciiTheme="majorHAnsi" w:hAnsiTheme="majorHAnsi" w:cstheme="majorHAnsi"/>
                <w:b/>
                <w:sz w:val="16"/>
                <w:szCs w:val="16"/>
              </w:rPr>
            </w:pPr>
            <w:r>
              <w:rPr>
                <w:rFonts w:asciiTheme="majorHAnsi" w:hAnsiTheme="majorHAnsi" w:cstheme="majorHAnsi"/>
                <w:b/>
                <w:sz w:val="16"/>
                <w:szCs w:val="16"/>
              </w:rPr>
              <w:t>When is the action completed</w:t>
            </w:r>
          </w:p>
        </w:tc>
        <w:tc>
          <w:tcPr>
            <w:tcW w:w="2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4860" w:rsidRDefault="00A64860">
            <w:pPr>
              <w:spacing w:line="240" w:lineRule="auto"/>
              <w:rPr>
                <w:rFonts w:asciiTheme="majorHAnsi" w:hAnsiTheme="majorHAnsi" w:cstheme="majorHAnsi"/>
                <w:b/>
                <w:sz w:val="16"/>
                <w:szCs w:val="16"/>
              </w:rPr>
            </w:pPr>
            <w:r>
              <w:rPr>
                <w:rFonts w:asciiTheme="majorHAnsi" w:hAnsiTheme="majorHAnsi" w:cstheme="majorHAnsi"/>
                <w:b/>
                <w:sz w:val="16"/>
                <w:szCs w:val="16"/>
              </w:rPr>
              <w:t>Done</w:t>
            </w:r>
          </w:p>
        </w:tc>
      </w:tr>
      <w:tr w:rsidR="00A64860" w:rsidTr="00A64860">
        <w:tc>
          <w:tcPr>
            <w:tcW w:w="13948" w:type="dxa"/>
            <w:gridSpan w:val="7"/>
            <w:tcBorders>
              <w:top w:val="single" w:sz="4" w:space="0" w:color="auto"/>
              <w:left w:val="single" w:sz="4" w:space="0" w:color="auto"/>
              <w:bottom w:val="single" w:sz="4" w:space="0" w:color="auto"/>
              <w:right w:val="single" w:sz="4" w:space="0" w:color="auto"/>
            </w:tcBorders>
            <w:shd w:val="clear" w:color="auto" w:fill="FFFF00"/>
            <w:hideMark/>
          </w:tcPr>
          <w:p w:rsidR="00A64860" w:rsidRDefault="00A64860">
            <w:pPr>
              <w:spacing w:line="240" w:lineRule="auto"/>
              <w:rPr>
                <w:rFonts w:asciiTheme="majorHAnsi" w:hAnsiTheme="majorHAnsi" w:cstheme="majorHAnsi"/>
                <w:b/>
                <w:sz w:val="20"/>
                <w:szCs w:val="20"/>
              </w:rPr>
            </w:pPr>
            <w:r>
              <w:rPr>
                <w:rFonts w:asciiTheme="majorHAnsi" w:hAnsiTheme="majorHAnsi" w:cstheme="majorHAnsi"/>
                <w:b/>
                <w:sz w:val="20"/>
                <w:szCs w:val="20"/>
              </w:rPr>
              <w:t>Rapid Asymptomatic Coronavirus (COVID-19) Testing</w:t>
            </w:r>
          </w:p>
        </w:tc>
      </w:tr>
      <w:tr w:rsidR="00A64860" w:rsidTr="00A64860">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4860" w:rsidRDefault="00A64860">
            <w:pPr>
              <w:spacing w:line="240" w:lineRule="auto"/>
              <w:rPr>
                <w:rFonts w:asciiTheme="majorHAnsi" w:hAnsiTheme="majorHAnsi" w:cstheme="majorHAnsi"/>
                <w:b/>
                <w:sz w:val="16"/>
                <w:szCs w:val="16"/>
              </w:rPr>
            </w:pPr>
            <w:r>
              <w:rPr>
                <w:rFonts w:asciiTheme="majorHAnsi" w:hAnsiTheme="majorHAnsi" w:cstheme="majorHAnsi"/>
                <w:b/>
                <w:sz w:val="16"/>
                <w:szCs w:val="16"/>
              </w:rPr>
              <w:t>Safe Storage of the NFD</w:t>
            </w: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r>
              <w:rPr>
                <w:rFonts w:asciiTheme="majorHAnsi" w:hAnsiTheme="majorHAnsi" w:cstheme="majorHAnsi"/>
                <w:b/>
                <w:sz w:val="16"/>
                <w:szCs w:val="16"/>
              </w:rPr>
              <w:t>Distributing test kits</w:t>
            </w: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326475" w:rsidRDefault="00326475">
            <w:pPr>
              <w:spacing w:line="240" w:lineRule="auto"/>
              <w:rPr>
                <w:rFonts w:asciiTheme="majorHAnsi" w:hAnsiTheme="majorHAnsi" w:cstheme="majorHAnsi"/>
                <w:b/>
                <w:sz w:val="16"/>
                <w:szCs w:val="16"/>
              </w:rPr>
            </w:pPr>
          </w:p>
          <w:p w:rsidR="00326475" w:rsidRDefault="00326475">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r>
              <w:rPr>
                <w:rFonts w:asciiTheme="majorHAnsi" w:hAnsiTheme="majorHAnsi" w:cstheme="majorHAnsi"/>
                <w:b/>
                <w:sz w:val="16"/>
                <w:szCs w:val="16"/>
              </w:rPr>
              <w:t>Test results</w:t>
            </w: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1D098B" w:rsidRDefault="001D098B">
            <w:pPr>
              <w:spacing w:line="240" w:lineRule="auto"/>
              <w:rPr>
                <w:rFonts w:asciiTheme="majorHAnsi" w:hAnsiTheme="majorHAnsi" w:cstheme="majorHAnsi"/>
                <w:b/>
                <w:sz w:val="16"/>
                <w:szCs w:val="16"/>
              </w:rPr>
            </w:pPr>
          </w:p>
          <w:p w:rsidR="001D098B" w:rsidRDefault="001D098B">
            <w:pPr>
              <w:spacing w:line="240" w:lineRule="auto"/>
              <w:rPr>
                <w:rFonts w:asciiTheme="majorHAnsi" w:hAnsiTheme="majorHAnsi" w:cstheme="majorHAnsi"/>
                <w:b/>
                <w:sz w:val="16"/>
                <w:szCs w:val="16"/>
              </w:rPr>
            </w:pPr>
          </w:p>
          <w:p w:rsidR="001D098B" w:rsidRDefault="001D098B">
            <w:pPr>
              <w:spacing w:line="240" w:lineRule="auto"/>
              <w:rPr>
                <w:rFonts w:asciiTheme="majorHAnsi" w:hAnsiTheme="majorHAnsi" w:cstheme="majorHAnsi"/>
                <w:b/>
                <w:sz w:val="16"/>
                <w:szCs w:val="16"/>
              </w:rPr>
            </w:pPr>
          </w:p>
          <w:p w:rsidR="001D098B" w:rsidRDefault="001D098B">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1D098B" w:rsidRDefault="001D098B">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p>
          <w:p w:rsidR="00A64860" w:rsidRDefault="00A64860">
            <w:pPr>
              <w:spacing w:line="240" w:lineRule="auto"/>
              <w:rPr>
                <w:rFonts w:asciiTheme="majorHAnsi" w:hAnsiTheme="majorHAnsi" w:cstheme="majorHAnsi"/>
                <w:b/>
                <w:sz w:val="16"/>
                <w:szCs w:val="16"/>
              </w:rPr>
            </w:pPr>
            <w:r>
              <w:rPr>
                <w:rFonts w:asciiTheme="majorHAnsi" w:hAnsiTheme="majorHAnsi" w:cstheme="majorHAnsi"/>
                <w:b/>
                <w:sz w:val="16"/>
                <w:szCs w:val="16"/>
              </w:rPr>
              <w:t>Incident Report</w:t>
            </w:r>
          </w:p>
          <w:p w:rsidR="00326475" w:rsidRDefault="00326475">
            <w:pPr>
              <w:spacing w:line="240" w:lineRule="auto"/>
              <w:rPr>
                <w:rFonts w:asciiTheme="majorHAnsi" w:hAnsiTheme="majorHAnsi" w:cstheme="majorHAnsi"/>
                <w:b/>
                <w:sz w:val="16"/>
                <w:szCs w:val="16"/>
              </w:rPr>
            </w:pPr>
          </w:p>
          <w:p w:rsidR="00326475" w:rsidRDefault="00326475">
            <w:pPr>
              <w:spacing w:line="240" w:lineRule="auto"/>
              <w:rPr>
                <w:rFonts w:asciiTheme="majorHAnsi" w:hAnsiTheme="majorHAnsi" w:cstheme="majorHAnsi"/>
                <w:b/>
                <w:sz w:val="16"/>
                <w:szCs w:val="16"/>
              </w:rPr>
            </w:pPr>
          </w:p>
          <w:p w:rsidR="00326475" w:rsidRDefault="00326475">
            <w:pPr>
              <w:spacing w:line="240" w:lineRule="auto"/>
              <w:rPr>
                <w:rFonts w:asciiTheme="majorHAnsi" w:hAnsiTheme="majorHAnsi" w:cstheme="majorHAnsi"/>
                <w:b/>
                <w:sz w:val="16"/>
                <w:szCs w:val="16"/>
              </w:rPr>
            </w:pPr>
          </w:p>
          <w:p w:rsidR="00326475" w:rsidRDefault="00326475">
            <w:pPr>
              <w:spacing w:line="240" w:lineRule="auto"/>
              <w:rPr>
                <w:rFonts w:asciiTheme="majorHAnsi" w:hAnsiTheme="majorHAnsi" w:cstheme="majorHAnsi"/>
                <w:b/>
                <w:sz w:val="16"/>
                <w:szCs w:val="16"/>
              </w:rPr>
            </w:pPr>
          </w:p>
          <w:p w:rsidR="00326475" w:rsidRDefault="00326475">
            <w:pPr>
              <w:spacing w:line="240" w:lineRule="auto"/>
              <w:rPr>
                <w:rFonts w:asciiTheme="majorHAnsi" w:hAnsiTheme="majorHAnsi" w:cstheme="majorHAnsi"/>
                <w:b/>
                <w:sz w:val="16"/>
                <w:szCs w:val="16"/>
              </w:rPr>
            </w:pPr>
          </w:p>
          <w:p w:rsidR="00326475" w:rsidRDefault="00326475">
            <w:pPr>
              <w:spacing w:line="240" w:lineRule="auto"/>
              <w:rPr>
                <w:rFonts w:asciiTheme="majorHAnsi" w:hAnsiTheme="majorHAnsi" w:cstheme="majorHAnsi"/>
                <w:b/>
                <w:sz w:val="16"/>
                <w:szCs w:val="16"/>
              </w:rPr>
            </w:pPr>
          </w:p>
          <w:p w:rsidR="00326475" w:rsidRDefault="00326475">
            <w:pPr>
              <w:spacing w:line="240" w:lineRule="auto"/>
              <w:rPr>
                <w:rFonts w:asciiTheme="majorHAnsi" w:hAnsiTheme="majorHAnsi" w:cstheme="majorHAnsi"/>
                <w:b/>
                <w:sz w:val="16"/>
                <w:szCs w:val="16"/>
              </w:rPr>
            </w:pPr>
          </w:p>
          <w:p w:rsidR="00326475" w:rsidRDefault="00326475">
            <w:pPr>
              <w:spacing w:line="240" w:lineRule="auto"/>
              <w:rPr>
                <w:rFonts w:asciiTheme="majorHAnsi" w:hAnsiTheme="majorHAnsi" w:cstheme="majorHAnsi"/>
                <w:b/>
                <w:sz w:val="16"/>
                <w:szCs w:val="16"/>
              </w:rPr>
            </w:pPr>
          </w:p>
          <w:p w:rsidR="00326475" w:rsidRDefault="00326475">
            <w:pPr>
              <w:spacing w:line="240" w:lineRule="auto"/>
              <w:rPr>
                <w:rFonts w:asciiTheme="majorHAnsi" w:hAnsiTheme="majorHAnsi" w:cstheme="majorHAnsi"/>
                <w:b/>
                <w:sz w:val="16"/>
                <w:szCs w:val="16"/>
              </w:rPr>
            </w:pPr>
          </w:p>
          <w:p w:rsidR="00326475" w:rsidRDefault="00326475">
            <w:pPr>
              <w:spacing w:line="240" w:lineRule="auto"/>
              <w:rPr>
                <w:rFonts w:asciiTheme="majorHAnsi" w:hAnsiTheme="majorHAnsi" w:cstheme="majorHAnsi"/>
                <w:b/>
                <w:sz w:val="16"/>
                <w:szCs w:val="16"/>
              </w:rPr>
            </w:pPr>
          </w:p>
          <w:p w:rsidR="00326475" w:rsidRDefault="00326475">
            <w:pPr>
              <w:spacing w:line="240" w:lineRule="auto"/>
              <w:rPr>
                <w:rFonts w:asciiTheme="majorHAnsi" w:hAnsiTheme="majorHAnsi" w:cstheme="majorHAnsi"/>
                <w:b/>
                <w:sz w:val="16"/>
                <w:szCs w:val="16"/>
              </w:rPr>
            </w:pPr>
          </w:p>
          <w:p w:rsidR="00326475" w:rsidRDefault="00326475">
            <w:pPr>
              <w:spacing w:line="240" w:lineRule="auto"/>
              <w:rPr>
                <w:rFonts w:asciiTheme="majorHAnsi" w:hAnsiTheme="majorHAnsi" w:cstheme="majorHAnsi"/>
                <w:b/>
                <w:sz w:val="16"/>
                <w:szCs w:val="16"/>
              </w:rPr>
            </w:pPr>
          </w:p>
          <w:p w:rsidR="00326475" w:rsidRDefault="00326475">
            <w:pPr>
              <w:spacing w:line="240" w:lineRule="auto"/>
              <w:rPr>
                <w:rFonts w:asciiTheme="majorHAnsi" w:hAnsiTheme="majorHAnsi" w:cstheme="majorHAnsi"/>
                <w:b/>
                <w:sz w:val="16"/>
                <w:szCs w:val="16"/>
              </w:rPr>
            </w:pPr>
          </w:p>
          <w:p w:rsidR="00326475" w:rsidRDefault="00326475">
            <w:pPr>
              <w:spacing w:line="240" w:lineRule="auto"/>
              <w:rPr>
                <w:rFonts w:asciiTheme="majorHAnsi" w:hAnsiTheme="majorHAnsi" w:cstheme="majorHAnsi"/>
                <w:b/>
                <w:sz w:val="16"/>
                <w:szCs w:val="16"/>
              </w:rPr>
            </w:pPr>
          </w:p>
          <w:p w:rsidR="00326475" w:rsidRDefault="00326475">
            <w:pPr>
              <w:spacing w:line="240" w:lineRule="auto"/>
              <w:rPr>
                <w:rFonts w:asciiTheme="majorHAnsi" w:hAnsiTheme="majorHAnsi" w:cstheme="majorHAnsi"/>
                <w:b/>
                <w:sz w:val="16"/>
                <w:szCs w:val="16"/>
              </w:rPr>
            </w:pPr>
          </w:p>
          <w:p w:rsidR="00326475" w:rsidRDefault="00326475">
            <w:pPr>
              <w:spacing w:line="240" w:lineRule="auto"/>
              <w:rPr>
                <w:rFonts w:asciiTheme="majorHAnsi" w:hAnsiTheme="majorHAnsi" w:cstheme="majorHAnsi"/>
                <w:b/>
                <w:sz w:val="16"/>
                <w:szCs w:val="16"/>
              </w:rPr>
            </w:pPr>
            <w:r>
              <w:rPr>
                <w:rFonts w:asciiTheme="majorHAnsi" w:hAnsiTheme="majorHAnsi" w:cstheme="majorHAnsi"/>
                <w:b/>
                <w:sz w:val="16"/>
                <w:szCs w:val="16"/>
              </w:rPr>
              <w:t>Mitigating Risk to the schools or Trust</w:t>
            </w:r>
          </w:p>
          <w:p w:rsidR="00A64860" w:rsidRDefault="00A64860">
            <w:pPr>
              <w:spacing w:line="240" w:lineRule="auto"/>
              <w:rPr>
                <w:rFonts w:asciiTheme="majorHAnsi" w:hAnsiTheme="majorHAnsi" w:cstheme="majorHAnsi"/>
                <w:b/>
                <w:sz w:val="16"/>
                <w:szCs w:val="16"/>
              </w:rPr>
            </w:pP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60" w:rsidRDefault="00A64860">
            <w:pPr>
              <w:spacing w:line="240" w:lineRule="auto"/>
              <w:rPr>
                <w:rFonts w:asciiTheme="majorHAnsi" w:hAnsiTheme="majorHAnsi" w:cstheme="majorHAnsi"/>
                <w:sz w:val="16"/>
                <w:szCs w:val="16"/>
              </w:rPr>
            </w:pPr>
            <w:r>
              <w:rPr>
                <w:rFonts w:asciiTheme="majorHAnsi" w:hAnsiTheme="majorHAnsi" w:cstheme="majorHAnsi"/>
                <w:sz w:val="16"/>
                <w:szCs w:val="16"/>
              </w:rPr>
              <w:lastRenderedPageBreak/>
              <w:t xml:space="preserve">Staff, pupils </w:t>
            </w:r>
          </w:p>
        </w:tc>
        <w:tc>
          <w:tcPr>
            <w:tcW w:w="4179" w:type="dxa"/>
            <w:tcBorders>
              <w:top w:val="single" w:sz="4" w:space="0" w:color="auto"/>
              <w:left w:val="single" w:sz="4" w:space="0" w:color="auto"/>
              <w:bottom w:val="single" w:sz="4" w:space="0" w:color="auto"/>
              <w:right w:val="single" w:sz="4" w:space="0" w:color="auto"/>
            </w:tcBorders>
            <w:shd w:val="clear" w:color="auto" w:fill="FFFFFF" w:themeFill="background1"/>
          </w:tcPr>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Deliveries are checked on arrival and lists of contents retained</w:t>
            </w: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All tests to be stored in a locked cupboard with key personnel only having access to the key</w:t>
            </w: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 xml:space="preserve">Testing supplies are safely maintained at temperatures between 2 and 30 degrees </w:t>
            </w:r>
            <w:proofErr w:type="spellStart"/>
            <w:r>
              <w:rPr>
                <w:rFonts w:asciiTheme="majorHAnsi" w:hAnsiTheme="majorHAnsi" w:cstheme="majorHAnsi"/>
                <w:sz w:val="16"/>
                <w:szCs w:val="16"/>
              </w:rPr>
              <w:t>celsius</w:t>
            </w:r>
            <w:proofErr w:type="spellEnd"/>
          </w:p>
          <w:p w:rsidR="00A64860" w:rsidRDefault="00A64860">
            <w:pPr>
              <w:spacing w:line="240" w:lineRule="auto"/>
              <w:rPr>
                <w:rFonts w:asciiTheme="majorHAnsi" w:hAnsiTheme="majorHAnsi" w:cstheme="majorHAnsi"/>
                <w:sz w:val="16"/>
                <w:szCs w:val="16"/>
              </w:rPr>
            </w:pP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 xml:space="preserve">All staff taking part to collect test kits as instructed by the school </w:t>
            </w: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1 box to be given to each member of staff as each box contains 7 test kits</w:t>
            </w: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School to complete Test Kit Log – retain this document for 8 Years – ensure all columns are completed – name of school, date of test kit received by school, name of test kit issuer, date test kit issued to test subject (staff), name of test subject (staff), lot number, test expiry date and has new IFU been issued</w:t>
            </w: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Ensure all staff the correct Instructions for Use (IFU) and they know that instruction in the test kit are not to be used</w:t>
            </w: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 xml:space="preserve">Systems of control to be in place when distributing test kits </w:t>
            </w:r>
            <w:proofErr w:type="spellStart"/>
            <w:r>
              <w:rPr>
                <w:rFonts w:asciiTheme="majorHAnsi" w:hAnsiTheme="majorHAnsi" w:cstheme="majorHAnsi"/>
                <w:sz w:val="16"/>
                <w:szCs w:val="16"/>
              </w:rPr>
              <w:t>eg</w:t>
            </w:r>
            <w:proofErr w:type="spellEnd"/>
            <w:r>
              <w:rPr>
                <w:rFonts w:asciiTheme="majorHAnsi" w:hAnsiTheme="majorHAnsi" w:cstheme="majorHAnsi"/>
                <w:sz w:val="16"/>
                <w:szCs w:val="16"/>
              </w:rPr>
              <w:t xml:space="preserve"> 2 metres distance, wearing a face mask </w:t>
            </w:r>
            <w:proofErr w:type="spellStart"/>
            <w:r>
              <w:rPr>
                <w:rFonts w:asciiTheme="majorHAnsi" w:hAnsiTheme="majorHAnsi" w:cstheme="majorHAnsi"/>
                <w:sz w:val="16"/>
                <w:szCs w:val="16"/>
              </w:rPr>
              <w:t>etc</w:t>
            </w:r>
            <w:proofErr w:type="spellEnd"/>
          </w:p>
          <w:p w:rsidR="00326475" w:rsidRDefault="00326475"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Ensure there is enough supply by ordering when details are published</w:t>
            </w:r>
          </w:p>
          <w:p w:rsidR="00A64860" w:rsidRDefault="00A64860">
            <w:pPr>
              <w:spacing w:line="240" w:lineRule="auto"/>
              <w:rPr>
                <w:rFonts w:asciiTheme="majorHAnsi" w:hAnsiTheme="majorHAnsi" w:cstheme="majorHAnsi"/>
                <w:sz w:val="16"/>
                <w:szCs w:val="16"/>
              </w:rPr>
            </w:pP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All staff to receive a copy the ‘Staff Rapid COVID-19 LFD Test booklet</w:t>
            </w: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Reminders given during staff meetings and briefings</w:t>
            </w: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All staff given guidance on reporting their result to NHS Test and Trace (booklet)</w:t>
            </w: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All staff given guidance on what to do if they have a positive, negative or void test result (booklet)</w:t>
            </w: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All staff to comple</w:t>
            </w:r>
            <w:r w:rsidR="001D098B">
              <w:rPr>
                <w:rFonts w:asciiTheme="majorHAnsi" w:hAnsiTheme="majorHAnsi" w:cstheme="majorHAnsi"/>
                <w:sz w:val="16"/>
                <w:szCs w:val="16"/>
              </w:rPr>
              <w:t xml:space="preserve">te a google form to </w:t>
            </w:r>
            <w:r>
              <w:rPr>
                <w:rFonts w:asciiTheme="majorHAnsi" w:hAnsiTheme="majorHAnsi" w:cstheme="majorHAnsi"/>
                <w:sz w:val="16"/>
                <w:szCs w:val="16"/>
              </w:rPr>
              <w:t>submit to the school when the test is taken</w:t>
            </w: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Consistent approach implemented to testing with a Monday and Thursday testing day each week – this supports schools to collect results</w:t>
            </w: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Clear communication to staff that if they have 2 void results or a positive test they have to book a PCR test</w:t>
            </w: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Staff to inform the school when a PCR test is booked</w:t>
            </w:r>
          </w:p>
          <w:p w:rsidR="001D098B" w:rsidRDefault="001D098B" w:rsidP="00020281">
            <w:pPr>
              <w:pStyle w:val="ListParagraph"/>
              <w:numPr>
                <w:ilvl w:val="0"/>
                <w:numId w:val="1"/>
              </w:numPr>
              <w:spacing w:line="240" w:lineRule="auto"/>
              <w:rPr>
                <w:rFonts w:asciiTheme="majorHAnsi" w:hAnsiTheme="majorHAnsi" w:cstheme="majorHAnsi"/>
                <w:sz w:val="16"/>
                <w:szCs w:val="16"/>
              </w:rPr>
            </w:pPr>
            <w:proofErr w:type="spellStart"/>
            <w:r>
              <w:rPr>
                <w:rFonts w:asciiTheme="majorHAnsi" w:hAnsiTheme="majorHAnsi" w:cstheme="majorHAnsi"/>
                <w:sz w:val="16"/>
                <w:szCs w:val="16"/>
              </w:rPr>
              <w:t>Headteacher</w:t>
            </w:r>
            <w:proofErr w:type="spellEnd"/>
            <w:r>
              <w:rPr>
                <w:rFonts w:asciiTheme="majorHAnsi" w:hAnsiTheme="majorHAnsi" w:cstheme="majorHAnsi"/>
                <w:sz w:val="16"/>
                <w:szCs w:val="16"/>
              </w:rPr>
              <w:t xml:space="preserve"> to contact staff who report a positive or 2 void test</w:t>
            </w:r>
          </w:p>
          <w:p w:rsidR="001D098B" w:rsidRDefault="001D098B"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Bubbles and contacts asked to self-isolate until a PCR test result is received</w:t>
            </w:r>
          </w:p>
          <w:p w:rsidR="00A64860" w:rsidRDefault="00A64860">
            <w:pPr>
              <w:spacing w:line="240" w:lineRule="auto"/>
              <w:rPr>
                <w:rFonts w:asciiTheme="majorHAnsi" w:hAnsiTheme="majorHAnsi" w:cstheme="majorHAnsi"/>
                <w:sz w:val="16"/>
                <w:szCs w:val="16"/>
              </w:rPr>
            </w:pPr>
          </w:p>
          <w:p w:rsidR="001D098B" w:rsidRDefault="001D098B">
            <w:pPr>
              <w:spacing w:line="240" w:lineRule="auto"/>
              <w:rPr>
                <w:rFonts w:asciiTheme="majorHAnsi" w:hAnsiTheme="majorHAnsi" w:cstheme="majorHAnsi"/>
                <w:sz w:val="16"/>
                <w:szCs w:val="16"/>
              </w:rPr>
            </w:pP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For individual staff If there are any issues with the test then staff should raise this with the school lead</w:t>
            </w: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If there is a clinical incident which led or has potential to harm, participants are advised to report it on</w:t>
            </w:r>
          </w:p>
          <w:p w:rsidR="00A64860" w:rsidRDefault="00326475">
            <w:pPr>
              <w:pStyle w:val="ListParagraph"/>
              <w:spacing w:line="240" w:lineRule="auto"/>
              <w:ind w:left="360"/>
              <w:rPr>
                <w:rFonts w:asciiTheme="majorHAnsi" w:hAnsiTheme="majorHAnsi" w:cstheme="majorHAnsi"/>
                <w:sz w:val="16"/>
                <w:szCs w:val="16"/>
              </w:rPr>
            </w:pPr>
            <w:hyperlink r:id="rId5" w:history="1">
              <w:r w:rsidR="00A64860">
                <w:rPr>
                  <w:rStyle w:val="Hyperlink"/>
                  <w:rFonts w:asciiTheme="majorHAnsi" w:hAnsiTheme="majorHAnsi" w:cstheme="majorHAnsi"/>
                  <w:sz w:val="16"/>
                  <w:szCs w:val="16"/>
                </w:rPr>
                <w:t>https://coronavirusyellowcard.mhra.gov.uk</w:t>
              </w:r>
            </w:hyperlink>
            <w:r w:rsidR="00A64860">
              <w:rPr>
                <w:rFonts w:asciiTheme="majorHAnsi" w:hAnsiTheme="majorHAnsi" w:cstheme="majorHAnsi"/>
                <w:sz w:val="16"/>
                <w:szCs w:val="16"/>
              </w:rPr>
              <w:t>.</w:t>
            </w: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If a staff member needs medical care this should be sought through contacting 111 or 999.</w:t>
            </w: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 xml:space="preserve">For non-clinical incidents occurring at home, participants are advised to report any issues (something damaged, or missing or difficult to use in the kit, unable to log result etc.) to 119 </w:t>
            </w:r>
          </w:p>
          <w:p w:rsidR="00A64860" w:rsidRDefault="00A64860" w:rsidP="00020281">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 xml:space="preserve">School must record time, date and details of concerns and report incidents to the </w:t>
            </w:r>
            <w:proofErr w:type="spellStart"/>
            <w:r>
              <w:rPr>
                <w:rFonts w:asciiTheme="majorHAnsi" w:hAnsiTheme="majorHAnsi" w:cstheme="majorHAnsi"/>
                <w:sz w:val="16"/>
                <w:szCs w:val="16"/>
              </w:rPr>
              <w:t>DfE</w:t>
            </w:r>
            <w:proofErr w:type="spellEnd"/>
            <w:r>
              <w:rPr>
                <w:rFonts w:asciiTheme="majorHAnsi" w:hAnsiTheme="majorHAnsi" w:cstheme="majorHAnsi"/>
                <w:sz w:val="16"/>
                <w:szCs w:val="16"/>
              </w:rPr>
              <w:t xml:space="preserve"> helpline if there seems to be repeated or similar issues (</w:t>
            </w:r>
            <w:proofErr w:type="spellStart"/>
            <w:r>
              <w:rPr>
                <w:rFonts w:asciiTheme="majorHAnsi" w:hAnsiTheme="majorHAnsi" w:cstheme="majorHAnsi"/>
                <w:sz w:val="16"/>
                <w:szCs w:val="16"/>
              </w:rPr>
              <w:t>eg</w:t>
            </w:r>
            <w:proofErr w:type="spellEnd"/>
            <w:r>
              <w:rPr>
                <w:rFonts w:asciiTheme="majorHAnsi" w:hAnsiTheme="majorHAnsi" w:cstheme="majorHAnsi"/>
                <w:sz w:val="16"/>
                <w:szCs w:val="16"/>
              </w:rPr>
              <w:t xml:space="preserve"> multiple repeat void test, unclear results, leaking/damaged tubes</w:t>
            </w:r>
          </w:p>
          <w:p w:rsidR="00326475" w:rsidRDefault="00326475" w:rsidP="00326475">
            <w:pPr>
              <w:spacing w:line="240" w:lineRule="auto"/>
              <w:rPr>
                <w:rFonts w:asciiTheme="majorHAnsi" w:hAnsiTheme="majorHAnsi" w:cstheme="majorHAnsi"/>
                <w:sz w:val="16"/>
                <w:szCs w:val="16"/>
              </w:rPr>
            </w:pPr>
          </w:p>
          <w:p w:rsidR="00326475" w:rsidRPr="00326475" w:rsidRDefault="00326475" w:rsidP="00326475">
            <w:pPr>
              <w:pStyle w:val="ListParagraph"/>
              <w:numPr>
                <w:ilvl w:val="0"/>
                <w:numId w:val="1"/>
              </w:numPr>
              <w:spacing w:line="240" w:lineRule="auto"/>
              <w:rPr>
                <w:rFonts w:asciiTheme="majorHAnsi" w:hAnsiTheme="majorHAnsi" w:cstheme="majorHAnsi"/>
                <w:sz w:val="16"/>
                <w:szCs w:val="16"/>
              </w:rPr>
            </w:pPr>
            <w:r>
              <w:rPr>
                <w:rFonts w:asciiTheme="majorHAnsi" w:hAnsiTheme="majorHAnsi" w:cstheme="majorHAnsi"/>
                <w:sz w:val="16"/>
                <w:szCs w:val="16"/>
              </w:rPr>
              <w:t>RPA insurance states that they will indemnify members if a claim is brought by a third party (employees). It will cover death, injury, or damage to party property, due to the school undertaking the asymptomatic tests</w:t>
            </w:r>
            <w:bookmarkStart w:id="0" w:name="_GoBack"/>
            <w:bookmarkEnd w:id="0"/>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60" w:rsidRDefault="00A64860">
            <w:pPr>
              <w:spacing w:line="240" w:lineRule="auto"/>
              <w:rPr>
                <w:rFonts w:asciiTheme="majorHAnsi" w:hAnsiTheme="majorHAnsi" w:cstheme="majorHAnsi"/>
                <w:sz w:val="16"/>
                <w:szCs w:val="16"/>
              </w:rPr>
            </w:pPr>
            <w:r>
              <w:rPr>
                <w:rFonts w:asciiTheme="majorHAnsi" w:hAnsiTheme="majorHAnsi" w:cstheme="majorHAnsi"/>
                <w:sz w:val="16"/>
                <w:szCs w:val="16"/>
              </w:rPr>
              <w:lastRenderedPageBreak/>
              <w:t xml:space="preserve">Systems and processes to be checked by </w:t>
            </w:r>
            <w:proofErr w:type="spellStart"/>
            <w:r>
              <w:rPr>
                <w:rFonts w:asciiTheme="majorHAnsi" w:hAnsiTheme="majorHAnsi" w:cstheme="majorHAnsi"/>
                <w:sz w:val="16"/>
                <w:szCs w:val="16"/>
              </w:rPr>
              <w:t>Headteacher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60" w:rsidRDefault="00A64860">
            <w:pPr>
              <w:spacing w:line="240" w:lineRule="auto"/>
              <w:rPr>
                <w:rFonts w:asciiTheme="majorHAnsi" w:hAnsiTheme="majorHAnsi" w:cstheme="majorHAnsi"/>
                <w:sz w:val="16"/>
                <w:szCs w:val="16"/>
              </w:rPr>
            </w:pPr>
            <w:proofErr w:type="spellStart"/>
            <w:r>
              <w:rPr>
                <w:rFonts w:asciiTheme="majorHAnsi" w:hAnsiTheme="majorHAnsi" w:cstheme="majorHAnsi"/>
                <w:sz w:val="16"/>
                <w:szCs w:val="16"/>
              </w:rPr>
              <w:t>Headteacher</w:t>
            </w:r>
            <w:proofErr w:type="spellEnd"/>
          </w:p>
          <w:p w:rsidR="00A64860" w:rsidRDefault="00A64860">
            <w:pPr>
              <w:spacing w:line="240" w:lineRule="auto"/>
              <w:rPr>
                <w:rFonts w:asciiTheme="majorHAnsi" w:hAnsiTheme="majorHAnsi" w:cstheme="majorHAnsi"/>
                <w:sz w:val="16"/>
                <w:szCs w:val="16"/>
              </w:rPr>
            </w:pPr>
            <w:r>
              <w:rPr>
                <w:rFonts w:asciiTheme="majorHAnsi" w:hAnsiTheme="majorHAnsi" w:cstheme="majorHAnsi"/>
                <w:sz w:val="16"/>
                <w:szCs w:val="16"/>
              </w:rPr>
              <w:t xml:space="preserve">NFD staff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860" w:rsidRDefault="00A64860">
            <w:pPr>
              <w:spacing w:line="240" w:lineRule="auto"/>
              <w:rPr>
                <w:rFonts w:asciiTheme="majorHAnsi" w:hAnsiTheme="majorHAnsi" w:cstheme="majorHAnsi"/>
                <w:sz w:val="16"/>
                <w:szCs w:val="16"/>
              </w:rPr>
            </w:pPr>
            <w:r>
              <w:rPr>
                <w:rFonts w:asciiTheme="majorHAnsi" w:hAnsiTheme="majorHAnsi" w:cstheme="majorHAnsi"/>
                <w:sz w:val="16"/>
                <w:szCs w:val="16"/>
              </w:rPr>
              <w:t>Ongoing</w:t>
            </w: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rsidR="00A64860" w:rsidRDefault="00A64860">
            <w:pPr>
              <w:spacing w:line="240" w:lineRule="auto"/>
              <w:rPr>
                <w:rFonts w:asciiTheme="majorHAnsi" w:hAnsiTheme="majorHAnsi" w:cstheme="majorHAnsi"/>
                <w:sz w:val="16"/>
                <w:szCs w:val="16"/>
              </w:rPr>
            </w:pPr>
          </w:p>
        </w:tc>
      </w:tr>
    </w:tbl>
    <w:p w:rsidR="0059485A" w:rsidRDefault="0059485A"/>
    <w:sectPr w:rsidR="0059485A" w:rsidSect="001D098B">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7CDA"/>
    <w:multiLevelType w:val="hybridMultilevel"/>
    <w:tmpl w:val="EC9CC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60"/>
    <w:rsid w:val="001D098B"/>
    <w:rsid w:val="00326475"/>
    <w:rsid w:val="00410CFD"/>
    <w:rsid w:val="0059485A"/>
    <w:rsid w:val="00A64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70C7"/>
  <w15:chartTrackingRefBased/>
  <w15:docId w15:val="{E28E8F8B-1912-42DA-B682-E15AB618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8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64860"/>
    <w:rPr>
      <w:color w:val="0000FF"/>
      <w:u w:val="single"/>
    </w:rPr>
  </w:style>
  <w:style w:type="paragraph" w:styleId="ListParagraph">
    <w:name w:val="List Paragraph"/>
    <w:basedOn w:val="Normal"/>
    <w:uiPriority w:val="34"/>
    <w:qFormat/>
    <w:rsid w:val="00A64860"/>
    <w:pPr>
      <w:ind w:left="720"/>
      <w:contextualSpacing/>
    </w:pPr>
  </w:style>
  <w:style w:type="table" w:styleId="TableGrid">
    <w:name w:val="Table Grid"/>
    <w:basedOn w:val="TableNormal"/>
    <w:uiPriority w:val="39"/>
    <w:rsid w:val="00A648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onavirusyellowcard.mhr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Worcesters School</dc:creator>
  <cp:keywords/>
  <dc:description/>
  <cp:lastModifiedBy>Worcesters School</cp:lastModifiedBy>
  <cp:revision>3</cp:revision>
  <dcterms:created xsi:type="dcterms:W3CDTF">2021-01-21T13:51:00Z</dcterms:created>
  <dcterms:modified xsi:type="dcterms:W3CDTF">2021-01-21T13:58:00Z</dcterms:modified>
</cp:coreProperties>
</file>