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795CE9" w14:textId="56C556E5" w:rsidR="005802F3" w:rsidRPr="005802F3" w:rsidRDefault="005802F3" w:rsidP="005802F3">
      <w:pPr>
        <w:jc w:val="center"/>
        <w:rPr>
          <w:sz w:val="32"/>
          <w:szCs w:val="32"/>
          <w:u w:val="single"/>
        </w:rPr>
      </w:pPr>
      <w:r w:rsidRPr="005802F3">
        <w:rPr>
          <w:sz w:val="32"/>
          <w:szCs w:val="32"/>
          <w:u w:val="single"/>
        </w:rPr>
        <w:t xml:space="preserve">Suspensions &amp; Permanent Exclusions Advice </w:t>
      </w:r>
      <w:proofErr w:type="gramStart"/>
      <w:r w:rsidRPr="005802F3">
        <w:rPr>
          <w:sz w:val="32"/>
          <w:szCs w:val="32"/>
          <w:u w:val="single"/>
        </w:rPr>
        <w:t>For</w:t>
      </w:r>
      <w:proofErr w:type="gramEnd"/>
      <w:r w:rsidRPr="005802F3">
        <w:rPr>
          <w:sz w:val="32"/>
          <w:szCs w:val="32"/>
          <w:u w:val="single"/>
        </w:rPr>
        <w:t xml:space="preserve"> Schools and Professionals Working With Looked After Children</w:t>
      </w:r>
    </w:p>
    <w:p w14:paraId="74EE2072" w14:textId="77777777" w:rsidR="005802F3" w:rsidRPr="005802F3" w:rsidRDefault="005802F3" w:rsidP="005802F3">
      <w:pPr>
        <w:rPr>
          <w:b/>
          <w:bCs/>
        </w:rPr>
      </w:pPr>
    </w:p>
    <w:p w14:paraId="31EDEEB1" w14:textId="015012A1" w:rsidR="005802F3" w:rsidRPr="005802F3" w:rsidRDefault="005802F3" w:rsidP="005802F3">
      <w:pPr>
        <w:jc w:val="both"/>
        <w:rPr>
          <w:b/>
          <w:bCs/>
        </w:rPr>
      </w:pPr>
      <w:r w:rsidRPr="005802F3">
        <w:rPr>
          <w:b/>
          <w:bCs/>
        </w:rPr>
        <w:t>Enfield Council is committed to ensuring that every looked after child has the very best opportunity to succeed in their learning. This is a brief guide to the support, provision and responsibilities around suspensions and permanent exclusions. It should be read in conjunction with the more extended ‘Preventing the Suspension of Children in Care Policy, Practice and Procedure 2022-2023’ document.</w:t>
      </w:r>
    </w:p>
    <w:p w14:paraId="7BA3536F" w14:textId="37C5F896" w:rsidR="005802F3" w:rsidRPr="005802F3" w:rsidRDefault="005802F3" w:rsidP="005802F3">
      <w:pPr>
        <w:jc w:val="center"/>
        <w:rPr>
          <w:i/>
          <w:iCs/>
          <w:u w:val="single"/>
        </w:rPr>
      </w:pPr>
      <w:r w:rsidRPr="005802F3">
        <w:rPr>
          <w:i/>
          <w:iCs/>
          <w:u w:val="single"/>
        </w:rPr>
        <w:t>Virtual</w:t>
      </w:r>
      <w:r w:rsidRPr="005802F3">
        <w:rPr>
          <w:u w:val="single"/>
        </w:rPr>
        <w:t xml:space="preserve"> </w:t>
      </w:r>
      <w:r w:rsidRPr="005802F3">
        <w:rPr>
          <w:i/>
          <w:iCs/>
          <w:u w:val="single"/>
        </w:rPr>
        <w:t>School Headteacher: Suzanne Rowson (</w:t>
      </w:r>
      <w:hyperlink r:id="rId5" w:history="1">
        <w:r w:rsidRPr="005802F3">
          <w:rPr>
            <w:rStyle w:val="Hyperlink"/>
            <w:i/>
            <w:iCs/>
          </w:rPr>
          <w:t>Suzanne.rowson@enfield.gov.uk</w:t>
        </w:r>
      </w:hyperlink>
      <w:r w:rsidRPr="005802F3">
        <w:rPr>
          <w:i/>
          <w:iCs/>
          <w:u w:val="single"/>
        </w:rPr>
        <w:t>)</w:t>
      </w:r>
    </w:p>
    <w:p w14:paraId="1F38968E" w14:textId="40DE70C1" w:rsidR="005802F3" w:rsidRDefault="004D0F66" w:rsidP="005802F3">
      <w:pPr>
        <w:rPr>
          <w:i/>
          <w:iCs/>
        </w:rPr>
      </w:pPr>
      <w:r w:rsidRPr="003E029D">
        <w:rPr>
          <w:i/>
          <w:iCs/>
          <w:noProof/>
        </w:rPr>
        <mc:AlternateContent>
          <mc:Choice Requires="wps">
            <w:drawing>
              <wp:anchor distT="45720" distB="45720" distL="114300" distR="114300" simplePos="0" relativeHeight="251659264" behindDoc="0" locked="0" layoutInCell="1" allowOverlap="1" wp14:anchorId="5717C918" wp14:editId="68C1AF8E">
                <wp:simplePos x="0" y="0"/>
                <wp:positionH relativeFrom="margin">
                  <wp:posOffset>0</wp:posOffset>
                </wp:positionH>
                <wp:positionV relativeFrom="margin">
                  <wp:posOffset>2438400</wp:posOffset>
                </wp:positionV>
                <wp:extent cx="5705475" cy="27622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762250"/>
                        </a:xfrm>
                        <a:prstGeom prst="rect">
                          <a:avLst/>
                        </a:prstGeom>
                        <a:solidFill>
                          <a:schemeClr val="accent5">
                            <a:lumMod val="60000"/>
                            <a:lumOff val="40000"/>
                          </a:schemeClr>
                        </a:solidFill>
                        <a:ln w="9525">
                          <a:solidFill>
                            <a:srgbClr val="000000"/>
                          </a:solidFill>
                          <a:miter lim="800000"/>
                          <a:headEnd/>
                          <a:tailEnd/>
                        </a:ln>
                      </wps:spPr>
                      <wps:txbx>
                        <w:txbxContent>
                          <w:p w14:paraId="10E85F76" w14:textId="77777777" w:rsidR="005802F3" w:rsidRPr="00F20B14" w:rsidRDefault="005802F3" w:rsidP="00002610">
                            <w:pPr>
                              <w:jc w:val="both"/>
                              <w:rPr>
                                <w:b/>
                                <w:bCs/>
                                <w:sz w:val="24"/>
                                <w:szCs w:val="24"/>
                                <w:u w:val="single"/>
                              </w:rPr>
                            </w:pPr>
                            <w:r w:rsidRPr="00F20B14">
                              <w:rPr>
                                <w:b/>
                                <w:bCs/>
                                <w:sz w:val="24"/>
                                <w:szCs w:val="24"/>
                                <w:u w:val="single"/>
                              </w:rPr>
                              <w:t>What the Virtual School require from schools and professionals working with LAC</w:t>
                            </w:r>
                          </w:p>
                          <w:p w14:paraId="3DA2E305" w14:textId="6E71A073" w:rsidR="005802F3" w:rsidRPr="00FE135C" w:rsidRDefault="005802F3" w:rsidP="00002610">
                            <w:pPr>
                              <w:pStyle w:val="ListParagraph"/>
                              <w:numPr>
                                <w:ilvl w:val="0"/>
                                <w:numId w:val="1"/>
                              </w:numPr>
                              <w:jc w:val="both"/>
                              <w:rPr>
                                <w:sz w:val="24"/>
                                <w:szCs w:val="24"/>
                                <w:u w:val="single"/>
                              </w:rPr>
                            </w:pPr>
                            <w:r w:rsidRPr="00FE135C">
                              <w:rPr>
                                <w:sz w:val="24"/>
                                <w:szCs w:val="24"/>
                              </w:rPr>
                              <w:t xml:space="preserve">Working knowledge of the statutory guidance governing </w:t>
                            </w:r>
                            <w:hyperlink r:id="rId6" w:history="1">
                              <w:r w:rsidRPr="005F6FF2">
                                <w:rPr>
                                  <w:rStyle w:val="Hyperlink"/>
                                  <w:sz w:val="24"/>
                                  <w:szCs w:val="24"/>
                                </w:rPr>
                                <w:t>suspensions and permanent exclusions</w:t>
                              </w:r>
                            </w:hyperlink>
                            <w:r w:rsidRPr="00FE135C">
                              <w:rPr>
                                <w:sz w:val="24"/>
                                <w:szCs w:val="24"/>
                              </w:rPr>
                              <w:t>.</w:t>
                            </w:r>
                          </w:p>
                          <w:p w14:paraId="2CEC16A7" w14:textId="77777777" w:rsidR="005802F3" w:rsidRPr="00FE135C" w:rsidRDefault="005802F3" w:rsidP="00002610">
                            <w:pPr>
                              <w:pStyle w:val="ListParagraph"/>
                              <w:numPr>
                                <w:ilvl w:val="0"/>
                                <w:numId w:val="1"/>
                              </w:numPr>
                              <w:jc w:val="both"/>
                              <w:rPr>
                                <w:sz w:val="24"/>
                                <w:szCs w:val="24"/>
                                <w:u w:val="single"/>
                              </w:rPr>
                            </w:pPr>
                            <w:r w:rsidRPr="00FE135C">
                              <w:rPr>
                                <w:sz w:val="24"/>
                                <w:szCs w:val="24"/>
                              </w:rPr>
                              <w:t>Timely information sharing about LACs at risk of suspension / permanent exclusion</w:t>
                            </w:r>
                          </w:p>
                          <w:p w14:paraId="782DC45B" w14:textId="77777777" w:rsidR="005802F3" w:rsidRPr="00FE135C" w:rsidRDefault="005802F3" w:rsidP="00002610">
                            <w:pPr>
                              <w:pStyle w:val="ListParagraph"/>
                              <w:numPr>
                                <w:ilvl w:val="0"/>
                                <w:numId w:val="1"/>
                              </w:numPr>
                              <w:jc w:val="both"/>
                              <w:rPr>
                                <w:sz w:val="24"/>
                                <w:szCs w:val="24"/>
                                <w:u w:val="single"/>
                              </w:rPr>
                            </w:pPr>
                            <w:r w:rsidRPr="00FE135C">
                              <w:rPr>
                                <w:sz w:val="24"/>
                                <w:szCs w:val="24"/>
                              </w:rPr>
                              <w:t>Prompt (same day) notification of the intention to suspend or exclude.</w:t>
                            </w:r>
                          </w:p>
                          <w:p w14:paraId="0ED2C009" w14:textId="77777777" w:rsidR="005802F3" w:rsidRPr="00FE135C" w:rsidRDefault="005802F3" w:rsidP="00002610">
                            <w:pPr>
                              <w:pStyle w:val="ListParagraph"/>
                              <w:numPr>
                                <w:ilvl w:val="0"/>
                                <w:numId w:val="1"/>
                              </w:numPr>
                              <w:jc w:val="both"/>
                              <w:rPr>
                                <w:sz w:val="24"/>
                                <w:szCs w:val="24"/>
                                <w:u w:val="single"/>
                              </w:rPr>
                            </w:pPr>
                            <w:r w:rsidRPr="00FE135C">
                              <w:rPr>
                                <w:sz w:val="24"/>
                                <w:szCs w:val="24"/>
                              </w:rPr>
                              <w:t>Copies of relevant documentation, including the pastoral support plan.</w:t>
                            </w:r>
                          </w:p>
                          <w:p w14:paraId="461DDF2D" w14:textId="77777777" w:rsidR="005802F3" w:rsidRPr="00FE135C" w:rsidRDefault="005802F3" w:rsidP="00002610">
                            <w:pPr>
                              <w:pStyle w:val="ListParagraph"/>
                              <w:numPr>
                                <w:ilvl w:val="0"/>
                                <w:numId w:val="1"/>
                              </w:numPr>
                              <w:jc w:val="both"/>
                              <w:rPr>
                                <w:sz w:val="24"/>
                                <w:szCs w:val="24"/>
                                <w:u w:val="single"/>
                              </w:rPr>
                            </w:pPr>
                            <w:r w:rsidRPr="00FE135C">
                              <w:rPr>
                                <w:sz w:val="24"/>
                                <w:szCs w:val="24"/>
                              </w:rPr>
                              <w:t>Inclusion of VS colleagues in re-integration meetings.</w:t>
                            </w:r>
                          </w:p>
                          <w:p w14:paraId="0307AD40" w14:textId="77777777" w:rsidR="005802F3" w:rsidRPr="00FE135C" w:rsidRDefault="005802F3" w:rsidP="00002610">
                            <w:pPr>
                              <w:pStyle w:val="ListParagraph"/>
                              <w:numPr>
                                <w:ilvl w:val="0"/>
                                <w:numId w:val="1"/>
                              </w:numPr>
                              <w:jc w:val="both"/>
                              <w:rPr>
                                <w:sz w:val="24"/>
                                <w:szCs w:val="24"/>
                                <w:u w:val="single"/>
                              </w:rPr>
                            </w:pPr>
                            <w:r w:rsidRPr="00FE135C">
                              <w:rPr>
                                <w:sz w:val="24"/>
                                <w:szCs w:val="24"/>
                              </w:rPr>
                              <w:t>Accurate record of suspensions entered onto the online PEP document.</w:t>
                            </w:r>
                          </w:p>
                          <w:p w14:paraId="588E12F1" w14:textId="77777777" w:rsidR="005802F3" w:rsidRPr="00FE135C" w:rsidRDefault="005802F3" w:rsidP="00002610">
                            <w:pPr>
                              <w:pStyle w:val="ListParagraph"/>
                              <w:numPr>
                                <w:ilvl w:val="0"/>
                                <w:numId w:val="1"/>
                              </w:numPr>
                              <w:jc w:val="both"/>
                              <w:rPr>
                                <w:sz w:val="24"/>
                                <w:szCs w:val="24"/>
                                <w:u w:val="single"/>
                              </w:rPr>
                            </w:pPr>
                            <w:r w:rsidRPr="00FE135C">
                              <w:rPr>
                                <w:sz w:val="24"/>
                                <w:szCs w:val="24"/>
                              </w:rPr>
                              <w:t>Reasonable adjustments to be made to accommodate LAC with SEN needs.</w:t>
                            </w:r>
                          </w:p>
                          <w:p w14:paraId="5D798536" w14:textId="77777777" w:rsidR="005802F3" w:rsidRPr="00FE135C" w:rsidRDefault="005802F3" w:rsidP="00002610">
                            <w:pPr>
                              <w:pStyle w:val="ListParagraph"/>
                              <w:numPr>
                                <w:ilvl w:val="0"/>
                                <w:numId w:val="1"/>
                              </w:numPr>
                              <w:jc w:val="both"/>
                              <w:rPr>
                                <w:sz w:val="24"/>
                                <w:szCs w:val="24"/>
                                <w:u w:val="single"/>
                              </w:rPr>
                            </w:pPr>
                            <w:r w:rsidRPr="00FE135C">
                              <w:rPr>
                                <w:sz w:val="24"/>
                                <w:szCs w:val="24"/>
                              </w:rPr>
                              <w:t>Practise a ‘trauma informed’ approach to managing the behaviour of LAC (see note on training and guidance below).</w:t>
                            </w:r>
                          </w:p>
                          <w:p w14:paraId="19F85B69" w14:textId="77777777" w:rsidR="005802F3" w:rsidRPr="00FE135C" w:rsidRDefault="005802F3" w:rsidP="00002610">
                            <w:pPr>
                              <w:pStyle w:val="ListParagraph"/>
                              <w:numPr>
                                <w:ilvl w:val="0"/>
                                <w:numId w:val="1"/>
                              </w:numPr>
                              <w:jc w:val="both"/>
                              <w:rPr>
                                <w:sz w:val="24"/>
                                <w:szCs w:val="24"/>
                                <w:u w:val="single"/>
                              </w:rPr>
                            </w:pPr>
                            <w:r w:rsidRPr="00FE135C">
                              <w:rPr>
                                <w:sz w:val="24"/>
                                <w:szCs w:val="24"/>
                              </w:rPr>
                              <w:t>Make use of the speech and language tool provided by the VS to screen all LAC</w:t>
                            </w:r>
                          </w:p>
                          <w:p w14:paraId="67D7891C" w14:textId="77777777" w:rsidR="005802F3" w:rsidRPr="007456AA" w:rsidRDefault="005802F3" w:rsidP="00002610">
                            <w:pPr>
                              <w:pStyle w:val="ListParagraph"/>
                              <w:jc w:val="both"/>
                              <w:rPr>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17C918" id="_x0000_t202" coordsize="21600,21600" o:spt="202" path="m,l,21600r21600,l21600,xe">
                <v:stroke joinstyle="miter"/>
                <v:path gradientshapeok="t" o:connecttype="rect"/>
              </v:shapetype>
              <v:shape id="Text Box 2" o:spid="_x0000_s1026" type="#_x0000_t202" style="position:absolute;margin-left:0;margin-top:192pt;width:449.25pt;height:21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" fillcolor="#9cc2e5 [1944]">
                <v:textbox>
                  <w:txbxContent>
                    <w:p w14:paraId="10E85F76" w14:textId="77777777" w:rsidR="005802F3" w:rsidRPr="00F20B14" w:rsidRDefault="005802F3" w:rsidP="00002610">
                      <w:pPr>
                        <w:jc w:val="both"/>
                        <w:rPr>
                          <w:b/>
                          <w:bCs/>
                          <w:sz w:val="24"/>
                          <w:szCs w:val="24"/>
                          <w:u w:val="single"/>
                        </w:rPr>
                      </w:pPr>
                      <w:r w:rsidRPr="00F20B14">
                        <w:rPr>
                          <w:b/>
                          <w:bCs/>
                          <w:sz w:val="24"/>
                          <w:szCs w:val="24"/>
                          <w:u w:val="single"/>
                        </w:rPr>
                        <w:t>What the Virtual School require from schools and professionals working with LAC</w:t>
                      </w:r>
                    </w:p>
                    <w:p w14:paraId="3DA2E305" w14:textId="6E71A073" w:rsidR="005802F3" w:rsidRPr="00FE135C" w:rsidRDefault="005802F3" w:rsidP="00002610">
                      <w:pPr>
                        <w:pStyle w:val="ListParagraph"/>
                        <w:numPr>
                          <w:ilvl w:val="0"/>
                          <w:numId w:val="1"/>
                        </w:numPr>
                        <w:jc w:val="both"/>
                        <w:rPr>
                          <w:sz w:val="24"/>
                          <w:szCs w:val="24"/>
                          <w:u w:val="single"/>
                        </w:rPr>
                      </w:pPr>
                      <w:r w:rsidRPr="00FE135C">
                        <w:rPr>
                          <w:sz w:val="24"/>
                          <w:szCs w:val="24"/>
                        </w:rPr>
                        <w:t xml:space="preserve">Working knowledge of the statutory guidance governing </w:t>
                      </w:r>
                      <w:hyperlink r:id="rId7" w:history="1">
                        <w:r w:rsidRPr="005F6FF2">
                          <w:rPr>
                            <w:rStyle w:val="Hyperlink"/>
                            <w:sz w:val="24"/>
                            <w:szCs w:val="24"/>
                          </w:rPr>
                          <w:t>suspensions and permanent exclusions</w:t>
                        </w:r>
                      </w:hyperlink>
                      <w:r w:rsidRPr="00FE135C">
                        <w:rPr>
                          <w:sz w:val="24"/>
                          <w:szCs w:val="24"/>
                        </w:rPr>
                        <w:t>.</w:t>
                      </w:r>
                    </w:p>
                    <w:p w14:paraId="2CEC16A7" w14:textId="77777777" w:rsidR="005802F3" w:rsidRPr="00FE135C" w:rsidRDefault="005802F3" w:rsidP="00002610">
                      <w:pPr>
                        <w:pStyle w:val="ListParagraph"/>
                        <w:numPr>
                          <w:ilvl w:val="0"/>
                          <w:numId w:val="1"/>
                        </w:numPr>
                        <w:jc w:val="both"/>
                        <w:rPr>
                          <w:sz w:val="24"/>
                          <w:szCs w:val="24"/>
                          <w:u w:val="single"/>
                        </w:rPr>
                      </w:pPr>
                      <w:r w:rsidRPr="00FE135C">
                        <w:rPr>
                          <w:sz w:val="24"/>
                          <w:szCs w:val="24"/>
                        </w:rPr>
                        <w:t>Timely information sharing about LACs at risk of suspension / permanent exclusion</w:t>
                      </w:r>
                    </w:p>
                    <w:p w14:paraId="782DC45B" w14:textId="77777777" w:rsidR="005802F3" w:rsidRPr="00FE135C" w:rsidRDefault="005802F3" w:rsidP="00002610">
                      <w:pPr>
                        <w:pStyle w:val="ListParagraph"/>
                        <w:numPr>
                          <w:ilvl w:val="0"/>
                          <w:numId w:val="1"/>
                        </w:numPr>
                        <w:jc w:val="both"/>
                        <w:rPr>
                          <w:sz w:val="24"/>
                          <w:szCs w:val="24"/>
                          <w:u w:val="single"/>
                        </w:rPr>
                      </w:pPr>
                      <w:r w:rsidRPr="00FE135C">
                        <w:rPr>
                          <w:sz w:val="24"/>
                          <w:szCs w:val="24"/>
                        </w:rPr>
                        <w:t>Prompt (same day) notification of the intention to suspend or exclude.</w:t>
                      </w:r>
                    </w:p>
                    <w:p w14:paraId="0ED2C009" w14:textId="77777777" w:rsidR="005802F3" w:rsidRPr="00FE135C" w:rsidRDefault="005802F3" w:rsidP="00002610">
                      <w:pPr>
                        <w:pStyle w:val="ListParagraph"/>
                        <w:numPr>
                          <w:ilvl w:val="0"/>
                          <w:numId w:val="1"/>
                        </w:numPr>
                        <w:jc w:val="both"/>
                        <w:rPr>
                          <w:sz w:val="24"/>
                          <w:szCs w:val="24"/>
                          <w:u w:val="single"/>
                        </w:rPr>
                      </w:pPr>
                      <w:r w:rsidRPr="00FE135C">
                        <w:rPr>
                          <w:sz w:val="24"/>
                          <w:szCs w:val="24"/>
                        </w:rPr>
                        <w:t>Copies of relevant documentation, including the pastoral support plan.</w:t>
                      </w:r>
                    </w:p>
                    <w:p w14:paraId="461DDF2D" w14:textId="77777777" w:rsidR="005802F3" w:rsidRPr="00FE135C" w:rsidRDefault="005802F3" w:rsidP="00002610">
                      <w:pPr>
                        <w:pStyle w:val="ListParagraph"/>
                        <w:numPr>
                          <w:ilvl w:val="0"/>
                          <w:numId w:val="1"/>
                        </w:numPr>
                        <w:jc w:val="both"/>
                        <w:rPr>
                          <w:sz w:val="24"/>
                          <w:szCs w:val="24"/>
                          <w:u w:val="single"/>
                        </w:rPr>
                      </w:pPr>
                      <w:r w:rsidRPr="00FE135C">
                        <w:rPr>
                          <w:sz w:val="24"/>
                          <w:szCs w:val="24"/>
                        </w:rPr>
                        <w:t>Inclusion of VS colleagues in re-integration meetings.</w:t>
                      </w:r>
                    </w:p>
                    <w:p w14:paraId="0307AD40" w14:textId="77777777" w:rsidR="005802F3" w:rsidRPr="00FE135C" w:rsidRDefault="005802F3" w:rsidP="00002610">
                      <w:pPr>
                        <w:pStyle w:val="ListParagraph"/>
                        <w:numPr>
                          <w:ilvl w:val="0"/>
                          <w:numId w:val="1"/>
                        </w:numPr>
                        <w:jc w:val="both"/>
                        <w:rPr>
                          <w:sz w:val="24"/>
                          <w:szCs w:val="24"/>
                          <w:u w:val="single"/>
                        </w:rPr>
                      </w:pPr>
                      <w:r w:rsidRPr="00FE135C">
                        <w:rPr>
                          <w:sz w:val="24"/>
                          <w:szCs w:val="24"/>
                        </w:rPr>
                        <w:t>Accurate record of suspensions entered onto the online PEP document.</w:t>
                      </w:r>
                    </w:p>
                    <w:p w14:paraId="588E12F1" w14:textId="77777777" w:rsidR="005802F3" w:rsidRPr="00FE135C" w:rsidRDefault="005802F3" w:rsidP="00002610">
                      <w:pPr>
                        <w:pStyle w:val="ListParagraph"/>
                        <w:numPr>
                          <w:ilvl w:val="0"/>
                          <w:numId w:val="1"/>
                        </w:numPr>
                        <w:jc w:val="both"/>
                        <w:rPr>
                          <w:sz w:val="24"/>
                          <w:szCs w:val="24"/>
                          <w:u w:val="single"/>
                        </w:rPr>
                      </w:pPr>
                      <w:r w:rsidRPr="00FE135C">
                        <w:rPr>
                          <w:sz w:val="24"/>
                          <w:szCs w:val="24"/>
                        </w:rPr>
                        <w:t>Reasonable adjustments to be made to accommodate LAC with SEN needs.</w:t>
                      </w:r>
                    </w:p>
                    <w:p w14:paraId="5D798536" w14:textId="77777777" w:rsidR="005802F3" w:rsidRPr="00FE135C" w:rsidRDefault="005802F3" w:rsidP="00002610">
                      <w:pPr>
                        <w:pStyle w:val="ListParagraph"/>
                        <w:numPr>
                          <w:ilvl w:val="0"/>
                          <w:numId w:val="1"/>
                        </w:numPr>
                        <w:jc w:val="both"/>
                        <w:rPr>
                          <w:sz w:val="24"/>
                          <w:szCs w:val="24"/>
                          <w:u w:val="single"/>
                        </w:rPr>
                      </w:pPr>
                      <w:r w:rsidRPr="00FE135C">
                        <w:rPr>
                          <w:sz w:val="24"/>
                          <w:szCs w:val="24"/>
                        </w:rPr>
                        <w:t>Practise a ‘trauma informed’ approach to managing the behaviour of LAC (see note on training and guidance below).</w:t>
                      </w:r>
                    </w:p>
                    <w:p w14:paraId="19F85B69" w14:textId="77777777" w:rsidR="005802F3" w:rsidRPr="00FE135C" w:rsidRDefault="005802F3" w:rsidP="00002610">
                      <w:pPr>
                        <w:pStyle w:val="ListParagraph"/>
                        <w:numPr>
                          <w:ilvl w:val="0"/>
                          <w:numId w:val="1"/>
                        </w:numPr>
                        <w:jc w:val="both"/>
                        <w:rPr>
                          <w:sz w:val="24"/>
                          <w:szCs w:val="24"/>
                          <w:u w:val="single"/>
                        </w:rPr>
                      </w:pPr>
                      <w:r w:rsidRPr="00FE135C">
                        <w:rPr>
                          <w:sz w:val="24"/>
                          <w:szCs w:val="24"/>
                        </w:rPr>
                        <w:t>Make use of the speech and language tool provided by the VS to screen all LAC</w:t>
                      </w:r>
                    </w:p>
                    <w:p w14:paraId="67D7891C" w14:textId="77777777" w:rsidR="005802F3" w:rsidRPr="007456AA" w:rsidRDefault="005802F3" w:rsidP="00002610">
                      <w:pPr>
                        <w:pStyle w:val="ListParagraph"/>
                        <w:jc w:val="both"/>
                        <w:rPr>
                          <w:u w:val="single"/>
                        </w:rPr>
                      </w:pPr>
                    </w:p>
                  </w:txbxContent>
                </v:textbox>
                <w10:wrap type="square" anchorx="margin" anchory="margin"/>
              </v:shape>
            </w:pict>
          </mc:Fallback>
        </mc:AlternateContent>
      </w:r>
      <w:r w:rsidR="005802F3" w:rsidRPr="003E029D">
        <w:rPr>
          <w:i/>
          <w:iCs/>
          <w:noProof/>
        </w:rPr>
        <mc:AlternateContent>
          <mc:Choice Requires="wps">
            <w:drawing>
              <wp:anchor distT="45720" distB="45720" distL="114300" distR="114300" simplePos="0" relativeHeight="251661312" behindDoc="0" locked="0" layoutInCell="1" allowOverlap="1" wp14:anchorId="2EECE0F0" wp14:editId="28F5AA62">
                <wp:simplePos x="0" y="0"/>
                <wp:positionH relativeFrom="margin">
                  <wp:posOffset>0</wp:posOffset>
                </wp:positionH>
                <wp:positionV relativeFrom="paragraph">
                  <wp:posOffset>3516630</wp:posOffset>
                </wp:positionV>
                <wp:extent cx="5705475" cy="307657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3076575"/>
                        </a:xfrm>
                        <a:prstGeom prst="rect">
                          <a:avLst/>
                        </a:prstGeom>
                        <a:solidFill>
                          <a:srgbClr val="92D050"/>
                        </a:solidFill>
                        <a:ln w="9525">
                          <a:solidFill>
                            <a:srgbClr val="000000"/>
                          </a:solidFill>
                          <a:miter lim="800000"/>
                          <a:headEnd/>
                          <a:tailEnd/>
                        </a:ln>
                      </wps:spPr>
                      <wps:txbx>
                        <w:txbxContent>
                          <w:p w14:paraId="431F2725" w14:textId="77777777" w:rsidR="005802F3" w:rsidRPr="00734C79" w:rsidRDefault="005802F3" w:rsidP="00002610">
                            <w:pPr>
                              <w:jc w:val="both"/>
                              <w:rPr>
                                <w:b/>
                                <w:bCs/>
                                <w:sz w:val="24"/>
                                <w:szCs w:val="24"/>
                                <w:u w:val="single"/>
                              </w:rPr>
                            </w:pPr>
                            <w:r w:rsidRPr="00734C79">
                              <w:rPr>
                                <w:b/>
                                <w:bCs/>
                                <w:sz w:val="24"/>
                                <w:szCs w:val="24"/>
                                <w:u w:val="single"/>
                              </w:rPr>
                              <w:t xml:space="preserve">What schools and professionals working with LAC can expect from the Virtual </w:t>
                            </w:r>
                            <w:proofErr w:type="gramStart"/>
                            <w:r w:rsidRPr="00734C79">
                              <w:rPr>
                                <w:b/>
                                <w:bCs/>
                                <w:sz w:val="24"/>
                                <w:szCs w:val="24"/>
                                <w:u w:val="single"/>
                              </w:rPr>
                              <w:t>School</w:t>
                            </w:r>
                            <w:proofErr w:type="gramEnd"/>
                          </w:p>
                          <w:p w14:paraId="1D2D906F" w14:textId="77777777" w:rsidR="005802F3" w:rsidRPr="00FE135C" w:rsidRDefault="005802F3" w:rsidP="00002610">
                            <w:pPr>
                              <w:pStyle w:val="ListParagraph"/>
                              <w:numPr>
                                <w:ilvl w:val="0"/>
                                <w:numId w:val="2"/>
                              </w:numPr>
                              <w:jc w:val="both"/>
                              <w:rPr>
                                <w:sz w:val="24"/>
                                <w:szCs w:val="24"/>
                              </w:rPr>
                            </w:pPr>
                            <w:r w:rsidRPr="00FE135C">
                              <w:rPr>
                                <w:sz w:val="24"/>
                                <w:szCs w:val="24"/>
                              </w:rPr>
                              <w:t>Face-to-face tuition, VS funded, through our tuition partners for LAC during periods of absence due to suspension.</w:t>
                            </w:r>
                          </w:p>
                          <w:p w14:paraId="780AAB91" w14:textId="77777777" w:rsidR="005802F3" w:rsidRPr="00FE135C" w:rsidRDefault="005802F3" w:rsidP="00002610">
                            <w:pPr>
                              <w:pStyle w:val="ListParagraph"/>
                              <w:numPr>
                                <w:ilvl w:val="0"/>
                                <w:numId w:val="2"/>
                              </w:numPr>
                              <w:jc w:val="both"/>
                              <w:rPr>
                                <w:sz w:val="24"/>
                                <w:szCs w:val="24"/>
                              </w:rPr>
                            </w:pPr>
                            <w:r w:rsidRPr="00FE135C">
                              <w:rPr>
                                <w:sz w:val="24"/>
                                <w:szCs w:val="24"/>
                              </w:rPr>
                              <w:t>Attendance at re-integration meetings to support school strategies and responses.</w:t>
                            </w:r>
                          </w:p>
                          <w:p w14:paraId="4C64D130" w14:textId="77777777" w:rsidR="005802F3" w:rsidRPr="00FE135C" w:rsidRDefault="005802F3" w:rsidP="00002610">
                            <w:pPr>
                              <w:pStyle w:val="ListParagraph"/>
                              <w:numPr>
                                <w:ilvl w:val="0"/>
                                <w:numId w:val="2"/>
                              </w:numPr>
                              <w:jc w:val="both"/>
                              <w:rPr>
                                <w:sz w:val="24"/>
                                <w:szCs w:val="24"/>
                              </w:rPr>
                            </w:pPr>
                            <w:r w:rsidRPr="00FE135C">
                              <w:rPr>
                                <w:sz w:val="24"/>
                                <w:szCs w:val="24"/>
                              </w:rPr>
                              <w:t xml:space="preserve">Access to therapeutic mentoring provision (Precious Moments) for LAC who are suspended or at risk of suspension / permanent exclusion (see details below). </w:t>
                            </w:r>
                          </w:p>
                          <w:p w14:paraId="52B9ED7C" w14:textId="77777777" w:rsidR="005802F3" w:rsidRPr="00FE135C" w:rsidRDefault="005802F3" w:rsidP="00002610">
                            <w:pPr>
                              <w:pStyle w:val="ListParagraph"/>
                              <w:numPr>
                                <w:ilvl w:val="0"/>
                                <w:numId w:val="2"/>
                              </w:numPr>
                              <w:jc w:val="both"/>
                              <w:rPr>
                                <w:sz w:val="24"/>
                                <w:szCs w:val="24"/>
                              </w:rPr>
                            </w:pPr>
                            <w:r w:rsidRPr="00FE135C">
                              <w:rPr>
                                <w:sz w:val="24"/>
                                <w:szCs w:val="24"/>
                              </w:rPr>
                              <w:t>School staff training on child-on-child abuse and Brooks Sexual Behaviours Traffic Light Tool.</w:t>
                            </w:r>
                          </w:p>
                          <w:p w14:paraId="41D8A017" w14:textId="0BA76597" w:rsidR="005802F3" w:rsidRDefault="005802F3" w:rsidP="00002610">
                            <w:pPr>
                              <w:pStyle w:val="ListParagraph"/>
                              <w:numPr>
                                <w:ilvl w:val="0"/>
                                <w:numId w:val="2"/>
                              </w:numPr>
                              <w:jc w:val="both"/>
                              <w:rPr>
                                <w:sz w:val="24"/>
                                <w:szCs w:val="24"/>
                              </w:rPr>
                            </w:pPr>
                            <w:r>
                              <w:rPr>
                                <w:sz w:val="24"/>
                                <w:szCs w:val="24"/>
                              </w:rPr>
                              <w:t>Access to ‘trauma informed practice training for school staff (</w:t>
                            </w:r>
                            <w:r w:rsidR="005F6FF2" w:rsidRPr="00FE135C">
                              <w:rPr>
                                <w:sz w:val="24"/>
                                <w:szCs w:val="24"/>
                              </w:rPr>
                              <w:t>see note on training and guidance below</w:t>
                            </w:r>
                            <w:r w:rsidR="005F6FF2">
                              <w:rPr>
                                <w:sz w:val="24"/>
                                <w:szCs w:val="24"/>
                              </w:rPr>
                              <w:t>)</w:t>
                            </w:r>
                          </w:p>
                          <w:p w14:paraId="2E82575E" w14:textId="77777777" w:rsidR="005802F3" w:rsidRDefault="005802F3" w:rsidP="00002610">
                            <w:pPr>
                              <w:pStyle w:val="ListParagraph"/>
                              <w:numPr>
                                <w:ilvl w:val="0"/>
                                <w:numId w:val="2"/>
                              </w:numPr>
                              <w:jc w:val="both"/>
                              <w:rPr>
                                <w:sz w:val="24"/>
                                <w:szCs w:val="24"/>
                              </w:rPr>
                            </w:pPr>
                            <w:r>
                              <w:rPr>
                                <w:sz w:val="24"/>
                                <w:szCs w:val="24"/>
                              </w:rPr>
                              <w:t>Informed guidance on the range of multi-agency support on offer to support schools (see below).</w:t>
                            </w:r>
                          </w:p>
                          <w:p w14:paraId="595E6FCA" w14:textId="77777777" w:rsidR="005802F3" w:rsidRPr="00FE135C" w:rsidRDefault="005802F3" w:rsidP="00002610">
                            <w:pPr>
                              <w:pStyle w:val="ListParagraph"/>
                              <w:numPr>
                                <w:ilvl w:val="0"/>
                                <w:numId w:val="2"/>
                              </w:numPr>
                              <w:jc w:val="both"/>
                              <w:rPr>
                                <w:sz w:val="24"/>
                                <w:szCs w:val="24"/>
                              </w:rPr>
                            </w:pPr>
                            <w:r>
                              <w:rPr>
                                <w:sz w:val="24"/>
                                <w:szCs w:val="24"/>
                              </w:rPr>
                              <w:t>Additional funding to support suspension / exclusion prevention strategies. This can be discussed with the VSH and will be assessed on a case-by-case basis.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ECE0F0" id="_x0000_s1027" type="#_x0000_t202" style="position:absolute;margin-left:0;margin-top:276.9pt;width:449.25pt;height:242.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" fillcolor="#92d050">
                <v:textbox>
                  <w:txbxContent>
                    <w:p w14:paraId="431F2725" w14:textId="77777777" w:rsidR="005802F3" w:rsidRPr="00734C79" w:rsidRDefault="005802F3" w:rsidP="00002610">
                      <w:pPr>
                        <w:jc w:val="both"/>
                        <w:rPr>
                          <w:b/>
                          <w:bCs/>
                          <w:sz w:val="24"/>
                          <w:szCs w:val="24"/>
                          <w:u w:val="single"/>
                        </w:rPr>
                      </w:pPr>
                      <w:r w:rsidRPr="00734C79">
                        <w:rPr>
                          <w:b/>
                          <w:bCs/>
                          <w:sz w:val="24"/>
                          <w:szCs w:val="24"/>
                          <w:u w:val="single"/>
                        </w:rPr>
                        <w:t xml:space="preserve">What schools and professionals working with LAC can expect from the Virtual </w:t>
                      </w:r>
                      <w:proofErr w:type="gramStart"/>
                      <w:r w:rsidRPr="00734C79">
                        <w:rPr>
                          <w:b/>
                          <w:bCs/>
                          <w:sz w:val="24"/>
                          <w:szCs w:val="24"/>
                          <w:u w:val="single"/>
                        </w:rPr>
                        <w:t>School</w:t>
                      </w:r>
                      <w:proofErr w:type="gramEnd"/>
                    </w:p>
                    <w:p w14:paraId="1D2D906F" w14:textId="77777777" w:rsidR="005802F3" w:rsidRPr="00FE135C" w:rsidRDefault="005802F3" w:rsidP="00002610">
                      <w:pPr>
                        <w:pStyle w:val="ListParagraph"/>
                        <w:numPr>
                          <w:ilvl w:val="0"/>
                          <w:numId w:val="2"/>
                        </w:numPr>
                        <w:jc w:val="both"/>
                        <w:rPr>
                          <w:sz w:val="24"/>
                          <w:szCs w:val="24"/>
                        </w:rPr>
                      </w:pPr>
                      <w:r w:rsidRPr="00FE135C">
                        <w:rPr>
                          <w:sz w:val="24"/>
                          <w:szCs w:val="24"/>
                        </w:rPr>
                        <w:t>Face-to-face tuition, VS funded, through our tuition partners for LAC during periods of absence due to suspension.</w:t>
                      </w:r>
                    </w:p>
                    <w:p w14:paraId="780AAB91" w14:textId="77777777" w:rsidR="005802F3" w:rsidRPr="00FE135C" w:rsidRDefault="005802F3" w:rsidP="00002610">
                      <w:pPr>
                        <w:pStyle w:val="ListParagraph"/>
                        <w:numPr>
                          <w:ilvl w:val="0"/>
                          <w:numId w:val="2"/>
                        </w:numPr>
                        <w:jc w:val="both"/>
                        <w:rPr>
                          <w:sz w:val="24"/>
                          <w:szCs w:val="24"/>
                        </w:rPr>
                      </w:pPr>
                      <w:r w:rsidRPr="00FE135C">
                        <w:rPr>
                          <w:sz w:val="24"/>
                          <w:szCs w:val="24"/>
                        </w:rPr>
                        <w:t>Attendance at re-integration meetings to support school strategies and responses.</w:t>
                      </w:r>
                    </w:p>
                    <w:p w14:paraId="4C64D130" w14:textId="77777777" w:rsidR="005802F3" w:rsidRPr="00FE135C" w:rsidRDefault="005802F3" w:rsidP="00002610">
                      <w:pPr>
                        <w:pStyle w:val="ListParagraph"/>
                        <w:numPr>
                          <w:ilvl w:val="0"/>
                          <w:numId w:val="2"/>
                        </w:numPr>
                        <w:jc w:val="both"/>
                        <w:rPr>
                          <w:sz w:val="24"/>
                          <w:szCs w:val="24"/>
                        </w:rPr>
                      </w:pPr>
                      <w:r w:rsidRPr="00FE135C">
                        <w:rPr>
                          <w:sz w:val="24"/>
                          <w:szCs w:val="24"/>
                        </w:rPr>
                        <w:t xml:space="preserve">Access to therapeutic mentoring provision (Precious Moments) for LAC who are suspended or at risk of suspension / permanent exclusion (see details below). </w:t>
                      </w:r>
                    </w:p>
                    <w:p w14:paraId="52B9ED7C" w14:textId="77777777" w:rsidR="005802F3" w:rsidRPr="00FE135C" w:rsidRDefault="005802F3" w:rsidP="00002610">
                      <w:pPr>
                        <w:pStyle w:val="ListParagraph"/>
                        <w:numPr>
                          <w:ilvl w:val="0"/>
                          <w:numId w:val="2"/>
                        </w:numPr>
                        <w:jc w:val="both"/>
                        <w:rPr>
                          <w:sz w:val="24"/>
                          <w:szCs w:val="24"/>
                        </w:rPr>
                      </w:pPr>
                      <w:r w:rsidRPr="00FE135C">
                        <w:rPr>
                          <w:sz w:val="24"/>
                          <w:szCs w:val="24"/>
                        </w:rPr>
                        <w:t>School staff training on child-on-child abuse and Brooks Sexual Behaviours Traffic Light Tool.</w:t>
                      </w:r>
                    </w:p>
                    <w:p w14:paraId="41D8A017" w14:textId="0BA76597" w:rsidR="005802F3" w:rsidRDefault="005802F3" w:rsidP="00002610">
                      <w:pPr>
                        <w:pStyle w:val="ListParagraph"/>
                        <w:numPr>
                          <w:ilvl w:val="0"/>
                          <w:numId w:val="2"/>
                        </w:numPr>
                        <w:jc w:val="both"/>
                        <w:rPr>
                          <w:sz w:val="24"/>
                          <w:szCs w:val="24"/>
                        </w:rPr>
                      </w:pPr>
                      <w:r>
                        <w:rPr>
                          <w:sz w:val="24"/>
                          <w:szCs w:val="24"/>
                        </w:rPr>
                        <w:t>Access to ‘trauma informed practice training for school staff (</w:t>
                      </w:r>
                      <w:r w:rsidR="005F6FF2" w:rsidRPr="00FE135C">
                        <w:rPr>
                          <w:sz w:val="24"/>
                          <w:szCs w:val="24"/>
                        </w:rPr>
                        <w:t>see note on training and guidance below</w:t>
                      </w:r>
                      <w:r w:rsidR="005F6FF2">
                        <w:rPr>
                          <w:sz w:val="24"/>
                          <w:szCs w:val="24"/>
                        </w:rPr>
                        <w:t>)</w:t>
                      </w:r>
                    </w:p>
                    <w:p w14:paraId="2E82575E" w14:textId="77777777" w:rsidR="005802F3" w:rsidRDefault="005802F3" w:rsidP="00002610">
                      <w:pPr>
                        <w:pStyle w:val="ListParagraph"/>
                        <w:numPr>
                          <w:ilvl w:val="0"/>
                          <w:numId w:val="2"/>
                        </w:numPr>
                        <w:jc w:val="both"/>
                        <w:rPr>
                          <w:sz w:val="24"/>
                          <w:szCs w:val="24"/>
                        </w:rPr>
                      </w:pPr>
                      <w:r>
                        <w:rPr>
                          <w:sz w:val="24"/>
                          <w:szCs w:val="24"/>
                        </w:rPr>
                        <w:t>Informed guidance on the range of multi-agency support on offer to support schools (see below).</w:t>
                      </w:r>
                    </w:p>
                    <w:p w14:paraId="595E6FCA" w14:textId="77777777" w:rsidR="005802F3" w:rsidRPr="00FE135C" w:rsidRDefault="005802F3" w:rsidP="00002610">
                      <w:pPr>
                        <w:pStyle w:val="ListParagraph"/>
                        <w:numPr>
                          <w:ilvl w:val="0"/>
                          <w:numId w:val="2"/>
                        </w:numPr>
                        <w:jc w:val="both"/>
                        <w:rPr>
                          <w:sz w:val="24"/>
                          <w:szCs w:val="24"/>
                        </w:rPr>
                      </w:pPr>
                      <w:r>
                        <w:rPr>
                          <w:sz w:val="24"/>
                          <w:szCs w:val="24"/>
                        </w:rPr>
                        <w:t>Additional funding to support suspension / exclusion prevention strategies. This can be discussed with the VSH and will be assessed on a case-by-case basis.</w:t>
                      </w:r>
                    </w:p>
                  </w:txbxContent>
                </v:textbox>
                <w10:wrap type="square" anchorx="margin"/>
              </v:shape>
            </w:pict>
          </mc:Fallback>
        </mc:AlternateContent>
      </w:r>
    </w:p>
    <w:p w14:paraId="6117C429" w14:textId="77777777" w:rsidR="004D0F66" w:rsidRDefault="004D0F66" w:rsidP="00E51F77">
      <w:pPr>
        <w:pStyle w:val="Header"/>
        <w:jc w:val="center"/>
        <w:rPr>
          <w:sz w:val="28"/>
          <w:szCs w:val="28"/>
          <w:u w:val="single"/>
        </w:rPr>
      </w:pPr>
    </w:p>
    <w:p w14:paraId="25EC1EF6" w14:textId="309862EC" w:rsidR="00E51F77" w:rsidRPr="004C2691" w:rsidRDefault="00E51F77" w:rsidP="00E51F77">
      <w:pPr>
        <w:pStyle w:val="Header"/>
        <w:jc w:val="center"/>
        <w:rPr>
          <w:sz w:val="28"/>
          <w:szCs w:val="28"/>
          <w:u w:val="single"/>
        </w:rPr>
      </w:pPr>
      <w:r w:rsidRPr="004C2691">
        <w:rPr>
          <w:sz w:val="28"/>
          <w:szCs w:val="28"/>
          <w:u w:val="single"/>
        </w:rPr>
        <w:lastRenderedPageBreak/>
        <w:t>Resources to Support Suspension and Permanent Exclusion Prevention</w:t>
      </w:r>
    </w:p>
    <w:p w14:paraId="6E6C79D6" w14:textId="77777777" w:rsidR="00E51F77" w:rsidRDefault="00E51F77" w:rsidP="00E51F77">
      <w:pPr>
        <w:pStyle w:val="Header"/>
        <w:jc w:val="center"/>
        <w:rPr>
          <w:sz w:val="40"/>
          <w:szCs w:val="40"/>
          <w:u w:val="single"/>
        </w:rPr>
      </w:pPr>
    </w:p>
    <w:p w14:paraId="528B08F7" w14:textId="77777777" w:rsidR="00E51F77" w:rsidRPr="004C2691" w:rsidRDefault="00E51F77" w:rsidP="00E51F77">
      <w:pPr>
        <w:pStyle w:val="Header"/>
        <w:numPr>
          <w:ilvl w:val="0"/>
          <w:numId w:val="3"/>
        </w:numPr>
        <w:jc w:val="both"/>
        <w:rPr>
          <w:rFonts w:cstheme="minorHAnsi"/>
          <w:sz w:val="24"/>
          <w:szCs w:val="24"/>
          <w:u w:val="single"/>
        </w:rPr>
      </w:pPr>
      <w:r w:rsidRPr="004C2691">
        <w:rPr>
          <w:rFonts w:cstheme="minorHAnsi"/>
          <w:sz w:val="24"/>
          <w:szCs w:val="24"/>
          <w:u w:val="single"/>
        </w:rPr>
        <w:t xml:space="preserve">Precious Moments: </w:t>
      </w:r>
      <w:r w:rsidRPr="004C2691">
        <w:rPr>
          <w:rFonts w:cstheme="minorHAnsi"/>
          <w:sz w:val="24"/>
          <w:szCs w:val="24"/>
        </w:rPr>
        <w:t xml:space="preserve"> A course of 10 - 20 hours of one-to-one therapeutic mentoring to help young people understand and their own behaviours and develop strategies to change these behaviours. Referral forms are provided by the Virtual School team.</w:t>
      </w:r>
    </w:p>
    <w:p w14:paraId="3AE3E03F" w14:textId="77777777" w:rsidR="00E51F77" w:rsidRPr="004C2691" w:rsidRDefault="00E51F77" w:rsidP="00E51F77">
      <w:pPr>
        <w:pStyle w:val="Header"/>
        <w:ind w:left="720"/>
        <w:jc w:val="both"/>
        <w:rPr>
          <w:rFonts w:cstheme="minorHAnsi"/>
          <w:sz w:val="24"/>
          <w:szCs w:val="24"/>
          <w:u w:val="single"/>
        </w:rPr>
      </w:pPr>
    </w:p>
    <w:p w14:paraId="531E95AC" w14:textId="742E7C0D" w:rsidR="00E51F77" w:rsidRPr="004C2691" w:rsidRDefault="00E51F77" w:rsidP="00E51F77">
      <w:pPr>
        <w:pStyle w:val="Header"/>
        <w:numPr>
          <w:ilvl w:val="0"/>
          <w:numId w:val="3"/>
        </w:numPr>
        <w:jc w:val="both"/>
        <w:rPr>
          <w:rFonts w:cstheme="minorHAnsi"/>
          <w:sz w:val="24"/>
          <w:szCs w:val="24"/>
          <w:u w:val="single"/>
        </w:rPr>
      </w:pPr>
      <w:r w:rsidRPr="004C2691">
        <w:rPr>
          <w:rFonts w:cstheme="minorHAnsi"/>
          <w:sz w:val="24"/>
          <w:szCs w:val="24"/>
          <w:u w:val="single"/>
        </w:rPr>
        <w:t>‘Trauma Informed Practice’ training for school staff</w:t>
      </w:r>
      <w:r w:rsidRPr="004C2691">
        <w:rPr>
          <w:rFonts w:cstheme="minorHAnsi"/>
          <w:sz w:val="24"/>
          <w:szCs w:val="24"/>
        </w:rPr>
        <w:t xml:space="preserve"> </w:t>
      </w:r>
      <w:r w:rsidRPr="00806654">
        <w:rPr>
          <w:rFonts w:cstheme="minorHAnsi"/>
          <w:sz w:val="24"/>
          <w:szCs w:val="24"/>
          <w:highlight w:val="yellow"/>
        </w:rPr>
        <w:t>(link to be provided by Sally)</w:t>
      </w:r>
    </w:p>
    <w:p w14:paraId="30C21FDD" w14:textId="77777777" w:rsidR="00E51F77" w:rsidRPr="004C2691" w:rsidRDefault="00E51F77" w:rsidP="008644C7">
      <w:pPr>
        <w:pStyle w:val="Header"/>
        <w:jc w:val="both"/>
        <w:rPr>
          <w:rFonts w:cstheme="minorHAnsi"/>
          <w:sz w:val="24"/>
          <w:szCs w:val="24"/>
          <w:u w:val="single"/>
        </w:rPr>
      </w:pPr>
    </w:p>
    <w:p w14:paraId="202155C8" w14:textId="3EF6602E" w:rsidR="00861422" w:rsidRPr="00861422" w:rsidRDefault="00E51F77" w:rsidP="00861422">
      <w:pPr>
        <w:pStyle w:val="Header"/>
        <w:numPr>
          <w:ilvl w:val="0"/>
          <w:numId w:val="3"/>
        </w:numPr>
        <w:jc w:val="both"/>
        <w:rPr>
          <w:rFonts w:cstheme="minorHAnsi"/>
          <w:sz w:val="24"/>
          <w:szCs w:val="24"/>
          <w:u w:val="single"/>
        </w:rPr>
      </w:pPr>
      <w:r w:rsidRPr="004C2691">
        <w:rPr>
          <w:rFonts w:cstheme="minorHAnsi"/>
          <w:sz w:val="24"/>
          <w:szCs w:val="24"/>
          <w:u w:val="single"/>
        </w:rPr>
        <w:t>Speech and Language Screening Tool</w:t>
      </w:r>
      <w:r w:rsidR="008E1113">
        <w:rPr>
          <w:rFonts w:cstheme="minorHAnsi"/>
          <w:sz w:val="24"/>
          <w:szCs w:val="24"/>
          <w:u w:val="single"/>
        </w:rPr>
        <w:t>s</w:t>
      </w:r>
      <w:r w:rsidR="008E1113">
        <w:rPr>
          <w:rFonts w:cstheme="minorHAnsi"/>
          <w:sz w:val="24"/>
          <w:szCs w:val="24"/>
        </w:rPr>
        <w:t xml:space="preserve"> for </w:t>
      </w:r>
      <w:hyperlink r:id="rId8" w:history="1">
        <w:r w:rsidR="008E1113" w:rsidRPr="008E1113">
          <w:rPr>
            <w:rStyle w:val="Hyperlink"/>
            <w:rFonts w:cstheme="minorHAnsi"/>
            <w:sz w:val="24"/>
            <w:szCs w:val="24"/>
          </w:rPr>
          <w:t>Primary</w:t>
        </w:r>
      </w:hyperlink>
      <w:r w:rsidR="008E1113">
        <w:rPr>
          <w:rFonts w:cstheme="minorHAnsi"/>
          <w:sz w:val="24"/>
          <w:szCs w:val="24"/>
        </w:rPr>
        <w:t xml:space="preserve"> and </w:t>
      </w:r>
      <w:hyperlink r:id="rId9" w:history="1">
        <w:r w:rsidR="008E1113" w:rsidRPr="008E1113">
          <w:rPr>
            <w:rStyle w:val="Hyperlink"/>
            <w:rFonts w:cstheme="minorHAnsi"/>
            <w:sz w:val="24"/>
            <w:szCs w:val="24"/>
          </w:rPr>
          <w:t>Secondary</w:t>
        </w:r>
      </w:hyperlink>
      <w:r w:rsidR="008E1113">
        <w:rPr>
          <w:rFonts w:cstheme="minorHAnsi"/>
          <w:sz w:val="24"/>
          <w:szCs w:val="24"/>
        </w:rPr>
        <w:t xml:space="preserve"> Years</w:t>
      </w:r>
      <w:r w:rsidR="005F2175">
        <w:rPr>
          <w:rFonts w:cstheme="minorHAnsi"/>
          <w:sz w:val="24"/>
          <w:szCs w:val="24"/>
        </w:rPr>
        <w:t>,</w:t>
      </w:r>
      <w:r w:rsidR="008E1113">
        <w:rPr>
          <w:rFonts w:cstheme="minorHAnsi"/>
          <w:sz w:val="24"/>
          <w:szCs w:val="24"/>
        </w:rPr>
        <w:t xml:space="preserve"> </w:t>
      </w:r>
      <w:r w:rsidR="008E1113" w:rsidRPr="008E1113">
        <w:rPr>
          <w:rFonts w:cstheme="minorHAnsi"/>
          <w:sz w:val="24"/>
          <w:szCs w:val="24"/>
        </w:rPr>
        <w:t>support staff in identifying young people who may be struggling to develop their speech, language and communication skills.</w:t>
      </w:r>
    </w:p>
    <w:p w14:paraId="665ECD73" w14:textId="77777777" w:rsidR="00861422" w:rsidRPr="00861422" w:rsidRDefault="00861422" w:rsidP="00861422">
      <w:pPr>
        <w:pStyle w:val="Header"/>
        <w:jc w:val="both"/>
        <w:rPr>
          <w:rFonts w:cstheme="minorHAnsi"/>
          <w:sz w:val="24"/>
          <w:szCs w:val="24"/>
          <w:u w:val="single"/>
        </w:rPr>
      </w:pPr>
    </w:p>
    <w:p w14:paraId="7AAF2CBF" w14:textId="278614D3" w:rsidR="00861422" w:rsidRDefault="00E51F77" w:rsidP="00861422">
      <w:pPr>
        <w:pStyle w:val="NormalWeb"/>
        <w:numPr>
          <w:ilvl w:val="0"/>
          <w:numId w:val="3"/>
        </w:numPr>
        <w:shd w:val="clear" w:color="auto" w:fill="FFFFFF"/>
        <w:spacing w:before="0" w:beforeAutospacing="0" w:after="0" w:afterAutospacing="0"/>
        <w:rPr>
          <w:rFonts w:asciiTheme="minorHAnsi" w:hAnsiTheme="minorHAnsi" w:cstheme="minorHAnsi"/>
        </w:rPr>
      </w:pPr>
      <w:r w:rsidRPr="004C2691">
        <w:rPr>
          <w:rFonts w:asciiTheme="minorHAnsi" w:hAnsiTheme="minorHAnsi" w:cstheme="minorHAnsi"/>
          <w:u w:val="single"/>
        </w:rPr>
        <w:t>Support and guidance from Enfield Behaviour Support Service</w:t>
      </w:r>
      <w:r w:rsidRPr="004C2691">
        <w:rPr>
          <w:rFonts w:asciiTheme="minorHAnsi" w:hAnsiTheme="minorHAnsi" w:cstheme="minorHAnsi"/>
        </w:rPr>
        <w:t xml:space="preserve"> </w:t>
      </w:r>
    </w:p>
    <w:p w14:paraId="66C95904" w14:textId="34F77BF2" w:rsidR="003F3CCB" w:rsidRDefault="00E51F77" w:rsidP="003F3CCB">
      <w:pPr>
        <w:pStyle w:val="NormalWeb"/>
        <w:shd w:val="clear" w:color="auto" w:fill="FFFFFF"/>
        <w:spacing w:before="0" w:beforeAutospacing="0" w:after="0" w:afterAutospacing="0"/>
        <w:ind w:left="720"/>
        <w:jc w:val="both"/>
        <w:rPr>
          <w:rFonts w:asciiTheme="minorHAnsi" w:hAnsiTheme="minorHAnsi" w:cstheme="minorHAnsi"/>
          <w:color w:val="000000"/>
        </w:rPr>
      </w:pPr>
      <w:r w:rsidRPr="00861422">
        <w:rPr>
          <w:rFonts w:asciiTheme="minorHAnsi" w:hAnsiTheme="minorHAnsi" w:cstheme="minorHAnsi"/>
          <w:color w:val="000000"/>
        </w:rPr>
        <w:t xml:space="preserve">The </w:t>
      </w:r>
      <w:hyperlink r:id="rId10" w:anchor="secondary" w:history="1">
        <w:r w:rsidRPr="00861422">
          <w:rPr>
            <w:rStyle w:val="Hyperlink"/>
            <w:rFonts w:asciiTheme="minorHAnsi" w:hAnsiTheme="minorHAnsi" w:cstheme="minorHAnsi"/>
          </w:rPr>
          <w:t>Behaviour Support Service</w:t>
        </w:r>
      </w:hyperlink>
      <w:r w:rsidRPr="00861422">
        <w:rPr>
          <w:rFonts w:asciiTheme="minorHAnsi" w:hAnsiTheme="minorHAnsi" w:cstheme="minorHAnsi"/>
          <w:color w:val="000000"/>
        </w:rPr>
        <w:t xml:space="preserve"> is a multi-disciplinary team working in partnership with schools and other services in Enfield supporting inclusion of children experiencing social, emotional and mental health (SEMH) difficulties. </w:t>
      </w:r>
    </w:p>
    <w:p w14:paraId="155ACCE8" w14:textId="77777777" w:rsidR="003F3CCB" w:rsidRDefault="003F3CCB" w:rsidP="003F3CCB">
      <w:pPr>
        <w:pStyle w:val="NormalWeb"/>
        <w:shd w:val="clear" w:color="auto" w:fill="FFFFFF"/>
        <w:spacing w:before="0" w:beforeAutospacing="0" w:after="0" w:afterAutospacing="0"/>
        <w:ind w:left="720"/>
        <w:jc w:val="both"/>
        <w:rPr>
          <w:rFonts w:asciiTheme="minorHAnsi" w:hAnsiTheme="minorHAnsi" w:cstheme="minorHAnsi"/>
          <w:color w:val="000000"/>
        </w:rPr>
      </w:pPr>
    </w:p>
    <w:p w14:paraId="57864379" w14:textId="12343AC6" w:rsidR="00861422" w:rsidRPr="003F3CCB" w:rsidRDefault="003F3CCB" w:rsidP="003F3CCB">
      <w:pPr>
        <w:pStyle w:val="Header"/>
        <w:numPr>
          <w:ilvl w:val="0"/>
          <w:numId w:val="3"/>
        </w:numPr>
        <w:jc w:val="both"/>
        <w:rPr>
          <w:rFonts w:cstheme="minorHAnsi"/>
          <w:sz w:val="24"/>
          <w:szCs w:val="24"/>
          <w:u w:val="single"/>
        </w:rPr>
      </w:pPr>
      <w:hyperlink r:id="rId11" w:history="1">
        <w:r w:rsidRPr="008E1113">
          <w:rPr>
            <w:rStyle w:val="Hyperlink"/>
            <w:rFonts w:cstheme="minorHAnsi"/>
            <w:sz w:val="24"/>
            <w:szCs w:val="24"/>
          </w:rPr>
          <w:t>‘Ordinarily Available Provision’</w:t>
        </w:r>
      </w:hyperlink>
      <w:r>
        <w:rPr>
          <w:rFonts w:cstheme="minorHAnsi"/>
          <w:sz w:val="24"/>
          <w:szCs w:val="24"/>
        </w:rPr>
        <w:t xml:space="preserve"> </w:t>
      </w:r>
      <w:r w:rsidRPr="008E1113">
        <w:rPr>
          <w:rFonts w:cstheme="minorHAnsi"/>
          <w:sz w:val="24"/>
          <w:szCs w:val="24"/>
        </w:rPr>
        <w:t xml:space="preserve">refers to the support that all </w:t>
      </w:r>
      <w:r>
        <w:rPr>
          <w:rFonts w:cstheme="minorHAnsi"/>
          <w:sz w:val="24"/>
          <w:szCs w:val="24"/>
        </w:rPr>
        <w:t>Enfield</w:t>
      </w:r>
      <w:r w:rsidRPr="008E1113">
        <w:rPr>
          <w:rFonts w:cstheme="minorHAnsi"/>
          <w:sz w:val="24"/>
          <w:szCs w:val="24"/>
        </w:rPr>
        <w:t xml:space="preserve"> schools, early </w:t>
      </w:r>
      <w:proofErr w:type="gramStart"/>
      <w:r w:rsidRPr="008E1113">
        <w:rPr>
          <w:rFonts w:cstheme="minorHAnsi"/>
          <w:sz w:val="24"/>
          <w:szCs w:val="24"/>
        </w:rPr>
        <w:t>years</w:t>
      </w:r>
      <w:proofErr w:type="gramEnd"/>
      <w:r w:rsidRPr="008E1113">
        <w:rPr>
          <w:rFonts w:cstheme="minorHAnsi"/>
          <w:sz w:val="24"/>
          <w:szCs w:val="24"/>
        </w:rPr>
        <w:t xml:space="preserve"> and post 16 settings should be able to provide for children/young people, including those with SEND, from within their own resources.</w:t>
      </w:r>
    </w:p>
    <w:p w14:paraId="35B8CE01" w14:textId="77777777" w:rsidR="003F3CCB" w:rsidRPr="00861422" w:rsidRDefault="003F3CCB" w:rsidP="00861422">
      <w:pPr>
        <w:pStyle w:val="NormalWeb"/>
        <w:shd w:val="clear" w:color="auto" w:fill="FFFFFF"/>
        <w:spacing w:before="0" w:beforeAutospacing="0" w:after="0" w:afterAutospacing="0"/>
        <w:ind w:left="720"/>
        <w:rPr>
          <w:rFonts w:asciiTheme="minorHAnsi" w:hAnsiTheme="minorHAnsi" w:cstheme="minorHAnsi"/>
        </w:rPr>
      </w:pPr>
    </w:p>
    <w:p w14:paraId="5536B7DD" w14:textId="41CA4ABA" w:rsidR="005F2175" w:rsidRPr="005F2175" w:rsidRDefault="005F2175" w:rsidP="005F2175">
      <w:pPr>
        <w:pStyle w:val="Header"/>
        <w:numPr>
          <w:ilvl w:val="0"/>
          <w:numId w:val="3"/>
        </w:numPr>
        <w:jc w:val="both"/>
        <w:rPr>
          <w:rFonts w:cstheme="minorHAnsi"/>
          <w:sz w:val="24"/>
          <w:szCs w:val="24"/>
          <w:u w:val="single"/>
        </w:rPr>
      </w:pPr>
      <w:hyperlink r:id="rId12" w:history="1">
        <w:r w:rsidRPr="005F2175">
          <w:rPr>
            <w:rStyle w:val="Hyperlink"/>
            <w:sz w:val="24"/>
            <w:szCs w:val="24"/>
          </w:rPr>
          <w:t>Enfield's Local Offer</w:t>
        </w:r>
      </w:hyperlink>
      <w:r w:rsidRPr="005F2175">
        <w:rPr>
          <w:sz w:val="24"/>
          <w:szCs w:val="24"/>
        </w:rPr>
        <w:t xml:space="preserve"> provides help and support to children and young people with Special Educational Needs and Disabilities (SEND), and their families. </w:t>
      </w:r>
      <w:r w:rsidRPr="005F2175">
        <w:rPr>
          <w:sz w:val="24"/>
          <w:szCs w:val="24"/>
        </w:rPr>
        <w:t>They offer</w:t>
      </w:r>
      <w:r w:rsidRPr="005F2175">
        <w:rPr>
          <w:sz w:val="24"/>
          <w:szCs w:val="24"/>
        </w:rPr>
        <w:t xml:space="preserve"> a wide range of services for parents and carers, as well as young people who want to live as independently as possible.</w:t>
      </w:r>
    </w:p>
    <w:p w14:paraId="242C7E38" w14:textId="77777777" w:rsidR="005F2175" w:rsidRPr="005F2175" w:rsidRDefault="005F2175" w:rsidP="005F2175">
      <w:pPr>
        <w:pStyle w:val="Header"/>
        <w:ind w:left="720"/>
        <w:jc w:val="both"/>
        <w:rPr>
          <w:rFonts w:cstheme="minorHAnsi"/>
          <w:sz w:val="24"/>
          <w:szCs w:val="24"/>
          <w:u w:val="single"/>
        </w:rPr>
      </w:pPr>
    </w:p>
    <w:p w14:paraId="433E3516" w14:textId="6948E156" w:rsidR="004C2691" w:rsidRPr="008644C7" w:rsidRDefault="003F3CCB" w:rsidP="00E51F77">
      <w:pPr>
        <w:pStyle w:val="Header"/>
        <w:numPr>
          <w:ilvl w:val="0"/>
          <w:numId w:val="3"/>
        </w:numPr>
        <w:jc w:val="both"/>
        <w:rPr>
          <w:rFonts w:cstheme="minorHAnsi"/>
          <w:sz w:val="24"/>
          <w:szCs w:val="24"/>
          <w:u w:val="single"/>
        </w:rPr>
      </w:pPr>
      <w:r w:rsidRPr="008644C7">
        <w:rPr>
          <w:sz w:val="24"/>
          <w:szCs w:val="24"/>
          <w:u w:val="single"/>
        </w:rPr>
        <w:t>The Child and Adolescent Mental Health Service (CAMHS within HEART)</w:t>
      </w:r>
      <w:r w:rsidRPr="008644C7">
        <w:rPr>
          <w:sz w:val="24"/>
          <w:szCs w:val="24"/>
        </w:rPr>
        <w:t xml:space="preserve"> works to improve the mental health and well-being of children in care and, with their social workers and foster carers, to contribute to care planning, placement stability and the prevention of placement breakdown; particularly for children in transition (</w:t>
      </w:r>
      <w:r w:rsidRPr="008644C7">
        <w:rPr>
          <w:sz w:val="24"/>
          <w:szCs w:val="24"/>
        </w:rPr>
        <w:t>i.e.,</w:t>
      </w:r>
      <w:r w:rsidRPr="008644C7">
        <w:rPr>
          <w:sz w:val="24"/>
          <w:szCs w:val="24"/>
        </w:rPr>
        <w:t xml:space="preserve"> coming into care, in short-term placement, between fostering and permanency). We offer consultation to the professional network and foster carers, </w:t>
      </w:r>
      <w:r w:rsidR="0067552C" w:rsidRPr="008644C7">
        <w:rPr>
          <w:sz w:val="24"/>
          <w:szCs w:val="24"/>
        </w:rPr>
        <w:t>assessment,</w:t>
      </w:r>
      <w:r w:rsidRPr="008644C7">
        <w:rPr>
          <w:sz w:val="24"/>
          <w:szCs w:val="24"/>
        </w:rPr>
        <w:t xml:space="preserve"> and therapy (individual or family.</w:t>
      </w:r>
    </w:p>
    <w:p w14:paraId="218DBF00" w14:textId="77777777" w:rsidR="003F3CCB" w:rsidRPr="004C2691" w:rsidRDefault="003F3CCB" w:rsidP="003F3CCB">
      <w:pPr>
        <w:pStyle w:val="Header"/>
        <w:jc w:val="both"/>
        <w:rPr>
          <w:rFonts w:cstheme="minorHAnsi"/>
          <w:sz w:val="24"/>
          <w:szCs w:val="24"/>
          <w:u w:val="single"/>
        </w:rPr>
      </w:pPr>
    </w:p>
    <w:p w14:paraId="38DA69B2" w14:textId="1110D5F1" w:rsidR="005802F3" w:rsidRPr="00593666" w:rsidRDefault="00BD7D01" w:rsidP="005802F3">
      <w:pPr>
        <w:pStyle w:val="Header"/>
        <w:numPr>
          <w:ilvl w:val="0"/>
          <w:numId w:val="3"/>
        </w:numPr>
        <w:jc w:val="both"/>
        <w:rPr>
          <w:rFonts w:cstheme="minorHAnsi"/>
          <w:sz w:val="24"/>
          <w:szCs w:val="24"/>
          <w:u w:val="single"/>
        </w:rPr>
      </w:pPr>
      <w:hyperlink r:id="rId13" w:history="1">
        <w:r w:rsidR="004C2691" w:rsidRPr="00BD7D01">
          <w:rPr>
            <w:rStyle w:val="Hyperlink"/>
            <w:sz w:val="24"/>
            <w:szCs w:val="24"/>
          </w:rPr>
          <w:t>Intervention directory</w:t>
        </w:r>
      </w:hyperlink>
      <w:r w:rsidR="00593666" w:rsidRPr="00593666">
        <w:rPr>
          <w:sz w:val="24"/>
          <w:szCs w:val="24"/>
        </w:rPr>
        <w:t xml:space="preserve"> offers a l</w:t>
      </w:r>
      <w:r w:rsidR="00593666" w:rsidRPr="00593666">
        <w:rPr>
          <w:rFonts w:cstheme="minorHAnsi"/>
          <w:sz w:val="24"/>
          <w:szCs w:val="24"/>
        </w:rPr>
        <w:t>ist of services that</w:t>
      </w:r>
      <w:r>
        <w:rPr>
          <w:rFonts w:cstheme="minorHAnsi"/>
          <w:sz w:val="24"/>
          <w:szCs w:val="24"/>
        </w:rPr>
        <w:t xml:space="preserve"> offer support to</w:t>
      </w:r>
      <w:r w:rsidR="00593666" w:rsidRPr="00593666">
        <w:rPr>
          <w:rFonts w:cstheme="minorHAnsi"/>
          <w:sz w:val="24"/>
          <w:szCs w:val="24"/>
        </w:rPr>
        <w:t xml:space="preserve"> children/young people, schools, families, </w:t>
      </w:r>
      <w:r w:rsidRPr="00593666">
        <w:rPr>
          <w:rFonts w:cstheme="minorHAnsi"/>
          <w:sz w:val="24"/>
          <w:szCs w:val="24"/>
        </w:rPr>
        <w:t>communities,</w:t>
      </w:r>
      <w:r w:rsidR="00593666" w:rsidRPr="00593666">
        <w:rPr>
          <w:rFonts w:cstheme="minorHAnsi"/>
          <w:sz w:val="24"/>
          <w:szCs w:val="24"/>
        </w:rPr>
        <w:t xml:space="preserve"> and partners</w:t>
      </w:r>
      <w:r>
        <w:rPr>
          <w:rFonts w:cstheme="minorHAnsi"/>
          <w:sz w:val="24"/>
          <w:szCs w:val="24"/>
        </w:rPr>
        <w:t>.</w:t>
      </w:r>
    </w:p>
    <w:sectPr w:rsidR="005802F3" w:rsidRPr="005936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6011B9"/>
    <w:multiLevelType w:val="hybridMultilevel"/>
    <w:tmpl w:val="61EE8546"/>
    <w:lvl w:ilvl="0" w:tplc="9892B2A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063E74"/>
    <w:multiLevelType w:val="hybridMultilevel"/>
    <w:tmpl w:val="4CAEFFE0"/>
    <w:lvl w:ilvl="0" w:tplc="8828E6B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CC5D36"/>
    <w:multiLevelType w:val="hybridMultilevel"/>
    <w:tmpl w:val="E4EA7D5E"/>
    <w:lvl w:ilvl="0" w:tplc="D4869D3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2F3"/>
    <w:rsid w:val="00002610"/>
    <w:rsid w:val="003F3CCB"/>
    <w:rsid w:val="004C2691"/>
    <w:rsid w:val="004D0F66"/>
    <w:rsid w:val="005802F3"/>
    <w:rsid w:val="00593666"/>
    <w:rsid w:val="0059530F"/>
    <w:rsid w:val="005F2175"/>
    <w:rsid w:val="005F6FF2"/>
    <w:rsid w:val="0067552C"/>
    <w:rsid w:val="00806654"/>
    <w:rsid w:val="00861422"/>
    <w:rsid w:val="008644C7"/>
    <w:rsid w:val="00884D7E"/>
    <w:rsid w:val="008E1113"/>
    <w:rsid w:val="00BD7D01"/>
    <w:rsid w:val="00E51F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DE6FE"/>
  <w15:chartTrackingRefBased/>
  <w15:docId w15:val="{B7AF2940-ED6F-492B-8EDE-B435244DE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02F3"/>
    <w:rPr>
      <w:color w:val="0563C1" w:themeColor="hyperlink"/>
      <w:u w:val="single"/>
    </w:rPr>
  </w:style>
  <w:style w:type="paragraph" w:styleId="ListParagraph">
    <w:name w:val="List Paragraph"/>
    <w:basedOn w:val="Normal"/>
    <w:uiPriority w:val="34"/>
    <w:qFormat/>
    <w:rsid w:val="005802F3"/>
    <w:pPr>
      <w:ind w:left="720"/>
      <w:contextualSpacing/>
    </w:pPr>
  </w:style>
  <w:style w:type="paragraph" w:styleId="Header">
    <w:name w:val="header"/>
    <w:basedOn w:val="Normal"/>
    <w:link w:val="HeaderChar"/>
    <w:uiPriority w:val="99"/>
    <w:unhideWhenUsed/>
    <w:rsid w:val="00E51F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1F77"/>
  </w:style>
  <w:style w:type="paragraph" w:styleId="NormalWeb">
    <w:name w:val="Normal (Web)"/>
    <w:basedOn w:val="Normal"/>
    <w:uiPriority w:val="99"/>
    <w:semiHidden/>
    <w:unhideWhenUsed/>
    <w:rsid w:val="00E51F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59530F"/>
    <w:rPr>
      <w:color w:val="605E5C"/>
      <w:shd w:val="clear" w:color="auto" w:fill="E1DFDD"/>
    </w:rPr>
  </w:style>
  <w:style w:type="character" w:styleId="FollowedHyperlink">
    <w:name w:val="FollowedHyperlink"/>
    <w:basedOn w:val="DefaultParagraphFont"/>
    <w:uiPriority w:val="99"/>
    <w:semiHidden/>
    <w:unhideWhenUsed/>
    <w:rsid w:val="008E11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eechandlanguage.org.uk/shop-for-educators/progression-tools-from-the-communication-trust-for-primary-years-set/" TargetMode="External"/><Relationship Id="rId13" Type="http://schemas.openxmlformats.org/officeDocument/2006/relationships/hyperlink" Target="https://traded.enfield.gov.uk/thehub/information/supporting-looked-after-children" TargetMode="External"/><Relationship Id="rId3" Type="http://schemas.openxmlformats.org/officeDocument/2006/relationships/settings" Target="settings.xml"/><Relationship Id="rId7" Type="http://schemas.openxmlformats.org/officeDocument/2006/relationships/hyperlink" Target="https://assets.publishing.service.gov.uk/government/uploads/system/uploads/attachment_data/file/1101498/Suspension_and_Permanent_Exclusion_from_maintained_schools__academies_and_pupil_referral_units_in_England__including_pupil_movement.pdf" TargetMode="External"/><Relationship Id="rId12" Type="http://schemas.openxmlformats.org/officeDocument/2006/relationships/hyperlink" Target="https://www.enfield.gov.uk/services/children-and-education/local-offer/education-5-to-18/behaviour-support-serv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sets.publishing.service.gov.uk/government/uploads/system/uploads/attachment_data/file/1101498/Suspension_and_Permanent_Exclusion_from_maintained_schools__academies_and_pupil_referral_units_in_England__including_pupil_movement.pdf" TargetMode="External"/><Relationship Id="rId11" Type="http://schemas.openxmlformats.org/officeDocument/2006/relationships/hyperlink" Target="https://traded.enfield.gov.uk/news/2022/oct/ordinarily-available-provision-2022-2025" TargetMode="External"/><Relationship Id="rId5" Type="http://schemas.openxmlformats.org/officeDocument/2006/relationships/hyperlink" Target="mailto:Suzanne.rowson@enfield.gov.uk" TargetMode="External"/><Relationship Id="rId15" Type="http://schemas.openxmlformats.org/officeDocument/2006/relationships/theme" Target="theme/theme1.xml"/><Relationship Id="rId10" Type="http://schemas.openxmlformats.org/officeDocument/2006/relationships/hyperlink" Target="https://www.enfield.gov.uk/services/children-and-education/local-offer/education-5-to-18/behaviour-support-service" TargetMode="External"/><Relationship Id="rId4" Type="http://schemas.openxmlformats.org/officeDocument/2006/relationships/webSettings" Target="webSettings.xml"/><Relationship Id="rId9" Type="http://schemas.openxmlformats.org/officeDocument/2006/relationships/hyperlink" Target="https://speechandlanguage.org.uk/shop-for-educators/progression-tools-from-the-communication-trust-for-secondary-years-s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Pages>
  <Words>516</Words>
  <Characters>2946</Characters>
  <Application>Microsoft Office Word</Application>
  <DocSecurity>0</DocSecurity>
  <Lines>24</Lines>
  <Paragraphs>6</Paragraphs>
  <ScaleCrop>false</ScaleCrop>
  <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Azra Klempic</dc:creator>
  <cp:keywords/>
  <dc:description/>
  <cp:lastModifiedBy>Azra Klempic</cp:lastModifiedBy>
  <cp:revision>17</cp:revision>
  <dcterms:created xsi:type="dcterms:W3CDTF">2022-12-19T10:21:00Z</dcterms:created>
  <dcterms:modified xsi:type="dcterms:W3CDTF">2022-12-19T12:17:00Z</dcterms:modified>
</cp:coreProperties>
</file>