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255FF" w14:textId="51295EA9" w:rsidR="00E77B5F" w:rsidRDefault="00E77B5F" w:rsidP="007B230A">
      <w:pPr>
        <w:jc w:val="both"/>
        <w:rPr>
          <w:b/>
          <w:sz w:val="36"/>
          <w:szCs w:val="36"/>
        </w:rPr>
      </w:pPr>
      <w:r>
        <w:rPr>
          <w:b/>
          <w:sz w:val="36"/>
          <w:szCs w:val="36"/>
        </w:rPr>
        <w:t xml:space="preserve">Schools </w:t>
      </w:r>
      <w:r w:rsidRPr="0011677C">
        <w:rPr>
          <w:b/>
          <w:sz w:val="36"/>
          <w:szCs w:val="36"/>
        </w:rPr>
        <w:t xml:space="preserve">Procurement </w:t>
      </w:r>
      <w:r>
        <w:rPr>
          <w:b/>
          <w:sz w:val="36"/>
          <w:szCs w:val="36"/>
        </w:rPr>
        <w:t>Code</w:t>
      </w:r>
    </w:p>
    <w:p w14:paraId="4D79C651" w14:textId="014FF116" w:rsidR="00E77B5F" w:rsidRDefault="00E77B5F" w:rsidP="007B230A">
      <w:pPr>
        <w:jc w:val="both"/>
        <w:rPr>
          <w:b/>
          <w:i/>
          <w:iCs/>
          <w:szCs w:val="24"/>
        </w:rPr>
      </w:pPr>
      <w:r w:rsidRPr="00627D0B">
        <w:rPr>
          <w:b/>
          <w:i/>
          <w:iCs/>
          <w:szCs w:val="24"/>
        </w:rPr>
        <w:t>Use hyperlink index to go to relevant section</w:t>
      </w:r>
      <w:r w:rsidR="004E51ED">
        <w:rPr>
          <w:b/>
          <w:i/>
          <w:iCs/>
          <w:szCs w:val="24"/>
        </w:rPr>
        <w:t>.</w:t>
      </w:r>
    </w:p>
    <w:p w14:paraId="5684017E" w14:textId="77777777" w:rsidR="00331A35" w:rsidRDefault="00331A35" w:rsidP="007B230A">
      <w:pPr>
        <w:jc w:val="both"/>
        <w:rPr>
          <w:b/>
          <w:i/>
          <w:iCs/>
          <w:szCs w:val="24"/>
        </w:rPr>
      </w:pPr>
    </w:p>
    <w:sdt>
      <w:sdtPr>
        <w:rPr>
          <w:rFonts w:eastAsia="Times New Roman"/>
          <w:sz w:val="24"/>
          <w:szCs w:val="22"/>
          <w:lang w:eastAsia="en-US"/>
        </w:rPr>
        <w:id w:val="834959547"/>
        <w:docPartObj>
          <w:docPartGallery w:val="Table of Contents"/>
          <w:docPartUnique/>
        </w:docPartObj>
      </w:sdtPr>
      <w:sdtEndPr>
        <w:rPr>
          <w:rFonts w:ascii="Arial" w:hAnsi="Arial" w:cs="Arial"/>
          <w:b/>
          <w:bCs/>
          <w:color w:val="auto"/>
          <w:szCs w:val="24"/>
        </w:rPr>
      </w:sdtEndPr>
      <w:sdtContent>
        <w:p w14:paraId="6D258258" w14:textId="7145ABF2" w:rsidR="00331A35" w:rsidRPr="000D48C5" w:rsidRDefault="00331A35" w:rsidP="009A079B">
          <w:pPr>
            <w:pStyle w:val="TOCHeading"/>
          </w:pPr>
          <w:r w:rsidRPr="000D48C5">
            <w:t>Contents</w:t>
          </w:r>
        </w:p>
        <w:p w14:paraId="3764DCC8" w14:textId="533E0E4C" w:rsidR="00192442" w:rsidRDefault="00331A35">
          <w:pPr>
            <w:pStyle w:val="TOC1"/>
            <w:rPr>
              <w:rFonts w:asciiTheme="minorHAnsi" w:eastAsiaTheme="minorEastAsia" w:hAnsiTheme="minorHAnsi" w:cstheme="minorBidi"/>
              <w:noProof/>
              <w:kern w:val="2"/>
              <w:szCs w:val="24"/>
              <w:lang w:eastAsia="en-GB"/>
              <w14:ligatures w14:val="standardContextual"/>
            </w:rPr>
          </w:pPr>
          <w:r>
            <w:fldChar w:fldCharType="begin"/>
          </w:r>
          <w:r>
            <w:instrText xml:space="preserve"> TOC \o "1-3" \h \z \u </w:instrText>
          </w:r>
          <w:r>
            <w:fldChar w:fldCharType="separate"/>
          </w:r>
          <w:hyperlink w:anchor="_Toc197615314" w:history="1">
            <w:r w:rsidR="00192442" w:rsidRPr="008D2975">
              <w:rPr>
                <w:rStyle w:val="Hyperlink"/>
                <w:noProof/>
              </w:rPr>
              <w:t>1.</w:t>
            </w:r>
            <w:r w:rsidR="00192442">
              <w:rPr>
                <w:rFonts w:asciiTheme="minorHAnsi" w:eastAsiaTheme="minorEastAsia" w:hAnsiTheme="minorHAnsi" w:cstheme="minorBidi"/>
                <w:noProof/>
                <w:kern w:val="2"/>
                <w:szCs w:val="24"/>
                <w:lang w:eastAsia="en-GB"/>
                <w14:ligatures w14:val="standardContextual"/>
              </w:rPr>
              <w:tab/>
            </w:r>
            <w:r w:rsidR="00192442" w:rsidRPr="008D2975">
              <w:rPr>
                <w:rStyle w:val="Hyperlink"/>
                <w:noProof/>
              </w:rPr>
              <w:t>Introduction</w:t>
            </w:r>
            <w:r w:rsidR="00192442">
              <w:rPr>
                <w:noProof/>
                <w:webHidden/>
              </w:rPr>
              <w:tab/>
            </w:r>
            <w:r w:rsidR="00192442">
              <w:rPr>
                <w:noProof/>
                <w:webHidden/>
              </w:rPr>
              <w:fldChar w:fldCharType="begin"/>
            </w:r>
            <w:r w:rsidR="00192442">
              <w:rPr>
                <w:noProof/>
                <w:webHidden/>
              </w:rPr>
              <w:instrText xml:space="preserve"> PAGEREF _Toc197615314 \h </w:instrText>
            </w:r>
            <w:r w:rsidR="00192442">
              <w:rPr>
                <w:noProof/>
                <w:webHidden/>
              </w:rPr>
            </w:r>
            <w:r w:rsidR="00192442">
              <w:rPr>
                <w:noProof/>
                <w:webHidden/>
              </w:rPr>
              <w:fldChar w:fldCharType="separate"/>
            </w:r>
            <w:r w:rsidR="00192442">
              <w:rPr>
                <w:noProof/>
                <w:webHidden/>
              </w:rPr>
              <w:t>3</w:t>
            </w:r>
            <w:r w:rsidR="00192442">
              <w:rPr>
                <w:noProof/>
                <w:webHidden/>
              </w:rPr>
              <w:fldChar w:fldCharType="end"/>
            </w:r>
          </w:hyperlink>
        </w:p>
        <w:p w14:paraId="3376A459" w14:textId="26242555" w:rsidR="00192442" w:rsidRDefault="00192442">
          <w:pPr>
            <w:pStyle w:val="TOC1"/>
            <w:rPr>
              <w:rFonts w:asciiTheme="minorHAnsi" w:eastAsiaTheme="minorEastAsia" w:hAnsiTheme="minorHAnsi" w:cstheme="minorBidi"/>
              <w:noProof/>
              <w:kern w:val="2"/>
              <w:szCs w:val="24"/>
              <w:lang w:eastAsia="en-GB"/>
              <w14:ligatures w14:val="standardContextual"/>
            </w:rPr>
          </w:pPr>
          <w:hyperlink w:anchor="_Toc197615315" w:history="1">
            <w:r w:rsidRPr="008D2975">
              <w:rPr>
                <w:rStyle w:val="Hyperlink"/>
                <w:noProof/>
              </w:rPr>
              <w:t>2.</w:t>
            </w:r>
            <w:r>
              <w:rPr>
                <w:rFonts w:asciiTheme="minorHAnsi" w:eastAsiaTheme="minorEastAsia" w:hAnsiTheme="minorHAnsi" w:cstheme="minorBidi"/>
                <w:noProof/>
                <w:kern w:val="2"/>
                <w:szCs w:val="24"/>
                <w:lang w:eastAsia="en-GB"/>
                <w14:ligatures w14:val="standardContextual"/>
              </w:rPr>
              <w:tab/>
            </w:r>
            <w:r w:rsidRPr="008D2975">
              <w:rPr>
                <w:rStyle w:val="Hyperlink"/>
                <w:noProof/>
              </w:rPr>
              <w:t>Introduction – Rule 1</w:t>
            </w:r>
            <w:r>
              <w:rPr>
                <w:noProof/>
                <w:webHidden/>
              </w:rPr>
              <w:tab/>
            </w:r>
            <w:r>
              <w:rPr>
                <w:noProof/>
                <w:webHidden/>
              </w:rPr>
              <w:fldChar w:fldCharType="begin"/>
            </w:r>
            <w:r>
              <w:rPr>
                <w:noProof/>
                <w:webHidden/>
              </w:rPr>
              <w:instrText xml:space="preserve"> PAGEREF _Toc197615315 \h </w:instrText>
            </w:r>
            <w:r>
              <w:rPr>
                <w:noProof/>
                <w:webHidden/>
              </w:rPr>
            </w:r>
            <w:r>
              <w:rPr>
                <w:noProof/>
                <w:webHidden/>
              </w:rPr>
              <w:fldChar w:fldCharType="separate"/>
            </w:r>
            <w:r>
              <w:rPr>
                <w:noProof/>
                <w:webHidden/>
              </w:rPr>
              <w:t>3</w:t>
            </w:r>
            <w:r>
              <w:rPr>
                <w:noProof/>
                <w:webHidden/>
              </w:rPr>
              <w:fldChar w:fldCharType="end"/>
            </w:r>
          </w:hyperlink>
        </w:p>
        <w:p w14:paraId="698BACF1" w14:textId="309BA413" w:rsidR="00192442" w:rsidRDefault="00192442">
          <w:pPr>
            <w:pStyle w:val="TOC1"/>
            <w:rPr>
              <w:rFonts w:asciiTheme="minorHAnsi" w:eastAsiaTheme="minorEastAsia" w:hAnsiTheme="minorHAnsi" w:cstheme="minorBidi"/>
              <w:noProof/>
              <w:kern w:val="2"/>
              <w:szCs w:val="24"/>
              <w:lang w:eastAsia="en-GB"/>
              <w14:ligatures w14:val="standardContextual"/>
            </w:rPr>
          </w:pPr>
          <w:hyperlink w:anchor="_Toc197615316" w:history="1">
            <w:r w:rsidRPr="008D2975">
              <w:rPr>
                <w:rStyle w:val="Hyperlink"/>
                <w:noProof/>
              </w:rPr>
              <w:t>3.</w:t>
            </w:r>
            <w:r>
              <w:rPr>
                <w:rFonts w:asciiTheme="minorHAnsi" w:eastAsiaTheme="minorEastAsia" w:hAnsiTheme="minorHAnsi" w:cstheme="minorBidi"/>
                <w:noProof/>
                <w:kern w:val="2"/>
                <w:szCs w:val="24"/>
                <w:lang w:eastAsia="en-GB"/>
                <w14:ligatures w14:val="standardContextual"/>
              </w:rPr>
              <w:tab/>
            </w:r>
            <w:r w:rsidRPr="008D2975">
              <w:rPr>
                <w:rStyle w:val="Hyperlink"/>
                <w:noProof/>
              </w:rPr>
              <w:t>Purpose – Rule 2</w:t>
            </w:r>
            <w:r>
              <w:rPr>
                <w:noProof/>
                <w:webHidden/>
              </w:rPr>
              <w:tab/>
            </w:r>
            <w:r>
              <w:rPr>
                <w:noProof/>
                <w:webHidden/>
              </w:rPr>
              <w:fldChar w:fldCharType="begin"/>
            </w:r>
            <w:r>
              <w:rPr>
                <w:noProof/>
                <w:webHidden/>
              </w:rPr>
              <w:instrText xml:space="preserve"> PAGEREF _Toc197615316 \h </w:instrText>
            </w:r>
            <w:r>
              <w:rPr>
                <w:noProof/>
                <w:webHidden/>
              </w:rPr>
            </w:r>
            <w:r>
              <w:rPr>
                <w:noProof/>
                <w:webHidden/>
              </w:rPr>
              <w:fldChar w:fldCharType="separate"/>
            </w:r>
            <w:r>
              <w:rPr>
                <w:noProof/>
                <w:webHidden/>
              </w:rPr>
              <w:t>3</w:t>
            </w:r>
            <w:r>
              <w:rPr>
                <w:noProof/>
                <w:webHidden/>
              </w:rPr>
              <w:fldChar w:fldCharType="end"/>
            </w:r>
          </w:hyperlink>
        </w:p>
        <w:p w14:paraId="2E7685C0" w14:textId="0CD5F7AE" w:rsidR="00192442" w:rsidRDefault="00192442">
          <w:pPr>
            <w:pStyle w:val="TOC1"/>
            <w:rPr>
              <w:rFonts w:asciiTheme="minorHAnsi" w:eastAsiaTheme="minorEastAsia" w:hAnsiTheme="minorHAnsi" w:cstheme="minorBidi"/>
              <w:noProof/>
              <w:kern w:val="2"/>
              <w:szCs w:val="24"/>
              <w:lang w:eastAsia="en-GB"/>
              <w14:ligatures w14:val="standardContextual"/>
            </w:rPr>
          </w:pPr>
          <w:hyperlink w:anchor="_Toc197615317" w:history="1">
            <w:r w:rsidRPr="008D2975">
              <w:rPr>
                <w:rStyle w:val="Hyperlink"/>
                <w:noProof/>
              </w:rPr>
              <w:t>4.</w:t>
            </w:r>
            <w:r>
              <w:rPr>
                <w:rFonts w:asciiTheme="minorHAnsi" w:eastAsiaTheme="minorEastAsia" w:hAnsiTheme="minorHAnsi" w:cstheme="minorBidi"/>
                <w:noProof/>
                <w:kern w:val="2"/>
                <w:szCs w:val="24"/>
                <w:lang w:eastAsia="en-GB"/>
                <w14:ligatures w14:val="standardContextual"/>
              </w:rPr>
              <w:tab/>
            </w:r>
            <w:r w:rsidRPr="008D2975">
              <w:rPr>
                <w:rStyle w:val="Hyperlink"/>
                <w:noProof/>
              </w:rPr>
              <w:t>Exempted Contracts – Rule 3</w:t>
            </w:r>
            <w:r>
              <w:rPr>
                <w:noProof/>
                <w:webHidden/>
              </w:rPr>
              <w:tab/>
            </w:r>
            <w:r>
              <w:rPr>
                <w:noProof/>
                <w:webHidden/>
              </w:rPr>
              <w:fldChar w:fldCharType="begin"/>
            </w:r>
            <w:r>
              <w:rPr>
                <w:noProof/>
                <w:webHidden/>
              </w:rPr>
              <w:instrText xml:space="preserve"> PAGEREF _Toc197615317 \h </w:instrText>
            </w:r>
            <w:r>
              <w:rPr>
                <w:noProof/>
                <w:webHidden/>
              </w:rPr>
            </w:r>
            <w:r>
              <w:rPr>
                <w:noProof/>
                <w:webHidden/>
              </w:rPr>
              <w:fldChar w:fldCharType="separate"/>
            </w:r>
            <w:r>
              <w:rPr>
                <w:noProof/>
                <w:webHidden/>
              </w:rPr>
              <w:t>4</w:t>
            </w:r>
            <w:r>
              <w:rPr>
                <w:noProof/>
                <w:webHidden/>
              </w:rPr>
              <w:fldChar w:fldCharType="end"/>
            </w:r>
          </w:hyperlink>
        </w:p>
        <w:p w14:paraId="13F5D551" w14:textId="3297FB23" w:rsidR="00192442" w:rsidRDefault="00192442">
          <w:pPr>
            <w:pStyle w:val="TOC1"/>
            <w:rPr>
              <w:rFonts w:asciiTheme="minorHAnsi" w:eastAsiaTheme="minorEastAsia" w:hAnsiTheme="minorHAnsi" w:cstheme="minorBidi"/>
              <w:noProof/>
              <w:kern w:val="2"/>
              <w:szCs w:val="24"/>
              <w:lang w:eastAsia="en-GB"/>
              <w14:ligatures w14:val="standardContextual"/>
            </w:rPr>
          </w:pPr>
          <w:hyperlink w:anchor="_Toc197615318" w:history="1">
            <w:r w:rsidRPr="008D2975">
              <w:rPr>
                <w:rStyle w:val="Hyperlink"/>
                <w:noProof/>
              </w:rPr>
              <w:t>5.</w:t>
            </w:r>
            <w:r>
              <w:rPr>
                <w:rFonts w:asciiTheme="minorHAnsi" w:eastAsiaTheme="minorEastAsia" w:hAnsiTheme="minorHAnsi" w:cstheme="minorBidi"/>
                <w:noProof/>
                <w:kern w:val="2"/>
                <w:szCs w:val="24"/>
                <w:lang w:eastAsia="en-GB"/>
                <w14:ligatures w14:val="standardContextual"/>
              </w:rPr>
              <w:tab/>
            </w:r>
            <w:r w:rsidRPr="008D2975">
              <w:rPr>
                <w:rStyle w:val="Hyperlink"/>
                <w:noProof/>
              </w:rPr>
              <w:t>Roles and Responsibilities – Rule 4</w:t>
            </w:r>
            <w:r>
              <w:rPr>
                <w:noProof/>
                <w:webHidden/>
              </w:rPr>
              <w:tab/>
            </w:r>
            <w:r>
              <w:rPr>
                <w:noProof/>
                <w:webHidden/>
              </w:rPr>
              <w:fldChar w:fldCharType="begin"/>
            </w:r>
            <w:r>
              <w:rPr>
                <w:noProof/>
                <w:webHidden/>
              </w:rPr>
              <w:instrText xml:space="preserve"> PAGEREF _Toc197615318 \h </w:instrText>
            </w:r>
            <w:r>
              <w:rPr>
                <w:noProof/>
                <w:webHidden/>
              </w:rPr>
            </w:r>
            <w:r>
              <w:rPr>
                <w:noProof/>
                <w:webHidden/>
              </w:rPr>
              <w:fldChar w:fldCharType="separate"/>
            </w:r>
            <w:r>
              <w:rPr>
                <w:noProof/>
                <w:webHidden/>
              </w:rPr>
              <w:t>4</w:t>
            </w:r>
            <w:r>
              <w:rPr>
                <w:noProof/>
                <w:webHidden/>
              </w:rPr>
              <w:fldChar w:fldCharType="end"/>
            </w:r>
          </w:hyperlink>
        </w:p>
        <w:p w14:paraId="5905519A" w14:textId="293893B6" w:rsidR="00192442" w:rsidRDefault="00192442">
          <w:pPr>
            <w:pStyle w:val="TOC1"/>
            <w:rPr>
              <w:rFonts w:asciiTheme="minorHAnsi" w:eastAsiaTheme="minorEastAsia" w:hAnsiTheme="minorHAnsi" w:cstheme="minorBidi"/>
              <w:noProof/>
              <w:kern w:val="2"/>
              <w:szCs w:val="24"/>
              <w:lang w:eastAsia="en-GB"/>
              <w14:ligatures w14:val="standardContextual"/>
            </w:rPr>
          </w:pPr>
          <w:hyperlink w:anchor="_Toc197615319" w:history="1">
            <w:r w:rsidRPr="008D2975">
              <w:rPr>
                <w:rStyle w:val="Hyperlink"/>
                <w:noProof/>
              </w:rPr>
              <w:t>6.</w:t>
            </w:r>
            <w:r>
              <w:rPr>
                <w:rFonts w:asciiTheme="minorHAnsi" w:eastAsiaTheme="minorEastAsia" w:hAnsiTheme="minorHAnsi" w:cstheme="minorBidi"/>
                <w:noProof/>
                <w:kern w:val="2"/>
                <w:szCs w:val="24"/>
                <w:lang w:eastAsia="en-GB"/>
                <w14:ligatures w14:val="standardContextual"/>
              </w:rPr>
              <w:tab/>
            </w:r>
            <w:r w:rsidRPr="008D2975">
              <w:rPr>
                <w:rStyle w:val="Hyperlink"/>
                <w:noProof/>
              </w:rPr>
              <w:t>Procurement Governance and Assurance – Rule 5</w:t>
            </w:r>
            <w:r>
              <w:rPr>
                <w:noProof/>
                <w:webHidden/>
              </w:rPr>
              <w:tab/>
            </w:r>
            <w:r>
              <w:rPr>
                <w:noProof/>
                <w:webHidden/>
              </w:rPr>
              <w:fldChar w:fldCharType="begin"/>
            </w:r>
            <w:r>
              <w:rPr>
                <w:noProof/>
                <w:webHidden/>
              </w:rPr>
              <w:instrText xml:space="preserve"> PAGEREF _Toc197615319 \h </w:instrText>
            </w:r>
            <w:r>
              <w:rPr>
                <w:noProof/>
                <w:webHidden/>
              </w:rPr>
            </w:r>
            <w:r>
              <w:rPr>
                <w:noProof/>
                <w:webHidden/>
              </w:rPr>
              <w:fldChar w:fldCharType="separate"/>
            </w:r>
            <w:r>
              <w:rPr>
                <w:noProof/>
                <w:webHidden/>
              </w:rPr>
              <w:t>4</w:t>
            </w:r>
            <w:r>
              <w:rPr>
                <w:noProof/>
                <w:webHidden/>
              </w:rPr>
              <w:fldChar w:fldCharType="end"/>
            </w:r>
          </w:hyperlink>
        </w:p>
        <w:p w14:paraId="3C185E3B" w14:textId="624552F7" w:rsidR="00192442" w:rsidRDefault="00192442">
          <w:pPr>
            <w:pStyle w:val="TOC1"/>
            <w:rPr>
              <w:rFonts w:asciiTheme="minorHAnsi" w:eastAsiaTheme="minorEastAsia" w:hAnsiTheme="minorHAnsi" w:cstheme="minorBidi"/>
              <w:noProof/>
              <w:kern w:val="2"/>
              <w:szCs w:val="24"/>
              <w:lang w:eastAsia="en-GB"/>
              <w14:ligatures w14:val="standardContextual"/>
            </w:rPr>
          </w:pPr>
          <w:hyperlink w:anchor="_Toc197615320" w:history="1">
            <w:r w:rsidRPr="008D2975">
              <w:rPr>
                <w:rStyle w:val="Hyperlink"/>
                <w:noProof/>
              </w:rPr>
              <w:t>7.</w:t>
            </w:r>
            <w:r>
              <w:rPr>
                <w:rFonts w:asciiTheme="minorHAnsi" w:eastAsiaTheme="minorEastAsia" w:hAnsiTheme="minorHAnsi" w:cstheme="minorBidi"/>
                <w:noProof/>
                <w:kern w:val="2"/>
                <w:szCs w:val="24"/>
                <w:lang w:eastAsia="en-GB"/>
                <w14:ligatures w14:val="standardContextual"/>
              </w:rPr>
              <w:tab/>
            </w:r>
            <w:r w:rsidRPr="008D2975">
              <w:rPr>
                <w:rStyle w:val="Hyperlink"/>
                <w:noProof/>
              </w:rPr>
              <w:t>Annual Procurement Plan and Pipeline Notification and Planning – Rule 6</w:t>
            </w:r>
            <w:r>
              <w:rPr>
                <w:noProof/>
                <w:webHidden/>
              </w:rPr>
              <w:tab/>
            </w:r>
            <w:r>
              <w:rPr>
                <w:noProof/>
                <w:webHidden/>
              </w:rPr>
              <w:fldChar w:fldCharType="begin"/>
            </w:r>
            <w:r>
              <w:rPr>
                <w:noProof/>
                <w:webHidden/>
              </w:rPr>
              <w:instrText xml:space="preserve"> PAGEREF _Toc197615320 \h </w:instrText>
            </w:r>
            <w:r>
              <w:rPr>
                <w:noProof/>
                <w:webHidden/>
              </w:rPr>
            </w:r>
            <w:r>
              <w:rPr>
                <w:noProof/>
                <w:webHidden/>
              </w:rPr>
              <w:fldChar w:fldCharType="separate"/>
            </w:r>
            <w:r>
              <w:rPr>
                <w:noProof/>
                <w:webHidden/>
              </w:rPr>
              <w:t>4</w:t>
            </w:r>
            <w:r>
              <w:rPr>
                <w:noProof/>
                <w:webHidden/>
              </w:rPr>
              <w:fldChar w:fldCharType="end"/>
            </w:r>
          </w:hyperlink>
        </w:p>
        <w:p w14:paraId="0DE3DCBF" w14:textId="6CFFD4A8" w:rsidR="00192442" w:rsidRDefault="00192442">
          <w:pPr>
            <w:pStyle w:val="TOC1"/>
            <w:rPr>
              <w:rFonts w:asciiTheme="minorHAnsi" w:eastAsiaTheme="minorEastAsia" w:hAnsiTheme="minorHAnsi" w:cstheme="minorBidi"/>
              <w:noProof/>
              <w:kern w:val="2"/>
              <w:szCs w:val="24"/>
              <w:lang w:eastAsia="en-GB"/>
              <w14:ligatures w14:val="standardContextual"/>
            </w:rPr>
          </w:pPr>
          <w:hyperlink w:anchor="_Toc197615321" w:history="1">
            <w:r w:rsidRPr="008D2975">
              <w:rPr>
                <w:rStyle w:val="Hyperlink"/>
                <w:noProof/>
              </w:rPr>
              <w:t>8.</w:t>
            </w:r>
            <w:r>
              <w:rPr>
                <w:rFonts w:asciiTheme="minorHAnsi" w:eastAsiaTheme="minorEastAsia" w:hAnsiTheme="minorHAnsi" w:cstheme="minorBidi"/>
                <w:noProof/>
                <w:kern w:val="2"/>
                <w:szCs w:val="24"/>
                <w:lang w:eastAsia="en-GB"/>
                <w14:ligatures w14:val="standardContextual"/>
              </w:rPr>
              <w:tab/>
            </w:r>
            <w:r w:rsidRPr="008D2975">
              <w:rPr>
                <w:rStyle w:val="Hyperlink"/>
                <w:noProof/>
              </w:rPr>
              <w:t>Risk Assessment – Rule 7</w:t>
            </w:r>
            <w:r>
              <w:rPr>
                <w:noProof/>
                <w:webHidden/>
              </w:rPr>
              <w:tab/>
            </w:r>
            <w:r>
              <w:rPr>
                <w:noProof/>
                <w:webHidden/>
              </w:rPr>
              <w:fldChar w:fldCharType="begin"/>
            </w:r>
            <w:r>
              <w:rPr>
                <w:noProof/>
                <w:webHidden/>
              </w:rPr>
              <w:instrText xml:space="preserve"> PAGEREF _Toc197615321 \h </w:instrText>
            </w:r>
            <w:r>
              <w:rPr>
                <w:noProof/>
                <w:webHidden/>
              </w:rPr>
            </w:r>
            <w:r>
              <w:rPr>
                <w:noProof/>
                <w:webHidden/>
              </w:rPr>
              <w:fldChar w:fldCharType="separate"/>
            </w:r>
            <w:r>
              <w:rPr>
                <w:noProof/>
                <w:webHidden/>
              </w:rPr>
              <w:t>4</w:t>
            </w:r>
            <w:r>
              <w:rPr>
                <w:noProof/>
                <w:webHidden/>
              </w:rPr>
              <w:fldChar w:fldCharType="end"/>
            </w:r>
          </w:hyperlink>
        </w:p>
        <w:p w14:paraId="799840A8" w14:textId="0EEE8880" w:rsidR="00192442" w:rsidRDefault="00192442">
          <w:pPr>
            <w:pStyle w:val="TOC1"/>
            <w:rPr>
              <w:rFonts w:asciiTheme="minorHAnsi" w:eastAsiaTheme="minorEastAsia" w:hAnsiTheme="minorHAnsi" w:cstheme="minorBidi"/>
              <w:noProof/>
              <w:kern w:val="2"/>
              <w:szCs w:val="24"/>
              <w:lang w:eastAsia="en-GB"/>
              <w14:ligatures w14:val="standardContextual"/>
            </w:rPr>
          </w:pPr>
          <w:hyperlink w:anchor="_Toc197615322" w:history="1">
            <w:r w:rsidRPr="008D2975">
              <w:rPr>
                <w:rStyle w:val="Hyperlink"/>
                <w:noProof/>
              </w:rPr>
              <w:t>9.</w:t>
            </w:r>
            <w:r>
              <w:rPr>
                <w:rFonts w:asciiTheme="minorHAnsi" w:eastAsiaTheme="minorEastAsia" w:hAnsiTheme="minorHAnsi" w:cstheme="minorBidi"/>
                <w:noProof/>
                <w:kern w:val="2"/>
                <w:szCs w:val="24"/>
                <w:lang w:eastAsia="en-GB"/>
                <w14:ligatures w14:val="standardContextual"/>
              </w:rPr>
              <w:tab/>
            </w:r>
            <w:r w:rsidRPr="008D2975">
              <w:rPr>
                <w:rStyle w:val="Hyperlink"/>
                <w:noProof/>
              </w:rPr>
              <w:t>Insurance – Rule 8</w:t>
            </w:r>
            <w:r>
              <w:rPr>
                <w:noProof/>
                <w:webHidden/>
              </w:rPr>
              <w:tab/>
            </w:r>
            <w:r>
              <w:rPr>
                <w:noProof/>
                <w:webHidden/>
              </w:rPr>
              <w:fldChar w:fldCharType="begin"/>
            </w:r>
            <w:r>
              <w:rPr>
                <w:noProof/>
                <w:webHidden/>
              </w:rPr>
              <w:instrText xml:space="preserve"> PAGEREF _Toc197615322 \h </w:instrText>
            </w:r>
            <w:r>
              <w:rPr>
                <w:noProof/>
                <w:webHidden/>
              </w:rPr>
            </w:r>
            <w:r>
              <w:rPr>
                <w:noProof/>
                <w:webHidden/>
              </w:rPr>
              <w:fldChar w:fldCharType="separate"/>
            </w:r>
            <w:r>
              <w:rPr>
                <w:noProof/>
                <w:webHidden/>
              </w:rPr>
              <w:t>4</w:t>
            </w:r>
            <w:r>
              <w:rPr>
                <w:noProof/>
                <w:webHidden/>
              </w:rPr>
              <w:fldChar w:fldCharType="end"/>
            </w:r>
          </w:hyperlink>
        </w:p>
        <w:p w14:paraId="60F572DA" w14:textId="7D573D91" w:rsidR="00192442" w:rsidRDefault="00192442">
          <w:pPr>
            <w:pStyle w:val="TOC1"/>
            <w:rPr>
              <w:rFonts w:asciiTheme="minorHAnsi" w:eastAsiaTheme="minorEastAsia" w:hAnsiTheme="minorHAnsi" w:cstheme="minorBidi"/>
              <w:noProof/>
              <w:kern w:val="2"/>
              <w:szCs w:val="24"/>
              <w:lang w:eastAsia="en-GB"/>
              <w14:ligatures w14:val="standardContextual"/>
            </w:rPr>
          </w:pPr>
          <w:hyperlink w:anchor="_Toc197615323" w:history="1">
            <w:r w:rsidRPr="008D2975">
              <w:rPr>
                <w:rStyle w:val="Hyperlink"/>
                <w:noProof/>
              </w:rPr>
              <w:t>10.</w:t>
            </w:r>
            <w:r>
              <w:rPr>
                <w:rFonts w:asciiTheme="minorHAnsi" w:eastAsiaTheme="minorEastAsia" w:hAnsiTheme="minorHAnsi" w:cstheme="minorBidi"/>
                <w:noProof/>
                <w:kern w:val="2"/>
                <w:szCs w:val="24"/>
                <w:lang w:eastAsia="en-GB"/>
                <w14:ligatures w14:val="standardContextual"/>
              </w:rPr>
              <w:tab/>
            </w:r>
            <w:r w:rsidRPr="008D2975">
              <w:rPr>
                <w:rStyle w:val="Hyperlink"/>
                <w:noProof/>
              </w:rPr>
              <w:t>Direct Award in special Cases – Rule 9</w:t>
            </w:r>
            <w:r>
              <w:rPr>
                <w:noProof/>
                <w:webHidden/>
              </w:rPr>
              <w:tab/>
            </w:r>
            <w:r>
              <w:rPr>
                <w:noProof/>
                <w:webHidden/>
              </w:rPr>
              <w:fldChar w:fldCharType="begin"/>
            </w:r>
            <w:r>
              <w:rPr>
                <w:noProof/>
                <w:webHidden/>
              </w:rPr>
              <w:instrText xml:space="preserve"> PAGEREF _Toc197615323 \h </w:instrText>
            </w:r>
            <w:r>
              <w:rPr>
                <w:noProof/>
                <w:webHidden/>
              </w:rPr>
            </w:r>
            <w:r>
              <w:rPr>
                <w:noProof/>
                <w:webHidden/>
              </w:rPr>
              <w:fldChar w:fldCharType="separate"/>
            </w:r>
            <w:r>
              <w:rPr>
                <w:noProof/>
                <w:webHidden/>
              </w:rPr>
              <w:t>4</w:t>
            </w:r>
            <w:r>
              <w:rPr>
                <w:noProof/>
                <w:webHidden/>
              </w:rPr>
              <w:fldChar w:fldCharType="end"/>
            </w:r>
          </w:hyperlink>
        </w:p>
        <w:p w14:paraId="4343FEEB" w14:textId="29835028" w:rsidR="00192442" w:rsidRDefault="00192442">
          <w:pPr>
            <w:pStyle w:val="TOC1"/>
            <w:rPr>
              <w:rFonts w:asciiTheme="minorHAnsi" w:eastAsiaTheme="minorEastAsia" w:hAnsiTheme="minorHAnsi" w:cstheme="minorBidi"/>
              <w:noProof/>
              <w:kern w:val="2"/>
              <w:szCs w:val="24"/>
              <w:lang w:eastAsia="en-GB"/>
              <w14:ligatures w14:val="standardContextual"/>
            </w:rPr>
          </w:pPr>
          <w:hyperlink w:anchor="_Toc197615324" w:history="1">
            <w:r w:rsidRPr="008D2975">
              <w:rPr>
                <w:rStyle w:val="Hyperlink"/>
                <w:noProof/>
              </w:rPr>
              <w:t>11.</w:t>
            </w:r>
            <w:r>
              <w:rPr>
                <w:rFonts w:asciiTheme="minorHAnsi" w:eastAsiaTheme="minorEastAsia" w:hAnsiTheme="minorHAnsi" w:cstheme="minorBidi"/>
                <w:noProof/>
                <w:kern w:val="2"/>
                <w:szCs w:val="24"/>
                <w:lang w:eastAsia="en-GB"/>
                <w14:ligatures w14:val="standardContextual"/>
              </w:rPr>
              <w:tab/>
            </w:r>
            <w:r w:rsidRPr="008D2975">
              <w:rPr>
                <w:rStyle w:val="Hyperlink"/>
                <w:noProof/>
              </w:rPr>
              <w:t>Waivers – Rule 9</w:t>
            </w:r>
            <w:r>
              <w:rPr>
                <w:noProof/>
                <w:webHidden/>
              </w:rPr>
              <w:tab/>
            </w:r>
            <w:r>
              <w:rPr>
                <w:noProof/>
                <w:webHidden/>
              </w:rPr>
              <w:fldChar w:fldCharType="begin"/>
            </w:r>
            <w:r>
              <w:rPr>
                <w:noProof/>
                <w:webHidden/>
              </w:rPr>
              <w:instrText xml:space="preserve"> PAGEREF _Toc197615324 \h </w:instrText>
            </w:r>
            <w:r>
              <w:rPr>
                <w:noProof/>
                <w:webHidden/>
              </w:rPr>
            </w:r>
            <w:r>
              <w:rPr>
                <w:noProof/>
                <w:webHidden/>
              </w:rPr>
              <w:fldChar w:fldCharType="separate"/>
            </w:r>
            <w:r>
              <w:rPr>
                <w:noProof/>
                <w:webHidden/>
              </w:rPr>
              <w:t>4</w:t>
            </w:r>
            <w:r>
              <w:rPr>
                <w:noProof/>
                <w:webHidden/>
              </w:rPr>
              <w:fldChar w:fldCharType="end"/>
            </w:r>
          </w:hyperlink>
        </w:p>
        <w:p w14:paraId="22976287" w14:textId="6A1D5EF6" w:rsidR="00192442" w:rsidRDefault="00192442">
          <w:pPr>
            <w:pStyle w:val="TOC1"/>
            <w:rPr>
              <w:rFonts w:asciiTheme="minorHAnsi" w:eastAsiaTheme="minorEastAsia" w:hAnsiTheme="minorHAnsi" w:cstheme="minorBidi"/>
              <w:noProof/>
              <w:kern w:val="2"/>
              <w:szCs w:val="24"/>
              <w:lang w:eastAsia="en-GB"/>
              <w14:ligatures w14:val="standardContextual"/>
            </w:rPr>
          </w:pPr>
          <w:hyperlink w:anchor="_Toc197615325" w:history="1">
            <w:r w:rsidRPr="008D2975">
              <w:rPr>
                <w:rStyle w:val="Hyperlink"/>
                <w:noProof/>
              </w:rPr>
              <w:t>12.</w:t>
            </w:r>
            <w:r>
              <w:rPr>
                <w:rFonts w:asciiTheme="minorHAnsi" w:eastAsiaTheme="minorEastAsia" w:hAnsiTheme="minorHAnsi" w:cstheme="minorBidi"/>
                <w:noProof/>
                <w:kern w:val="2"/>
                <w:szCs w:val="24"/>
                <w:lang w:eastAsia="en-GB"/>
                <w14:ligatures w14:val="standardContextual"/>
              </w:rPr>
              <w:tab/>
            </w:r>
            <w:r w:rsidRPr="008D2975">
              <w:rPr>
                <w:rStyle w:val="Hyperlink"/>
                <w:noProof/>
              </w:rPr>
              <w:t>Financial Due Diligence and Security– Rule 12</w:t>
            </w:r>
            <w:r>
              <w:rPr>
                <w:noProof/>
                <w:webHidden/>
              </w:rPr>
              <w:tab/>
            </w:r>
            <w:r>
              <w:rPr>
                <w:noProof/>
                <w:webHidden/>
              </w:rPr>
              <w:fldChar w:fldCharType="begin"/>
            </w:r>
            <w:r>
              <w:rPr>
                <w:noProof/>
                <w:webHidden/>
              </w:rPr>
              <w:instrText xml:space="preserve"> PAGEREF _Toc197615325 \h </w:instrText>
            </w:r>
            <w:r>
              <w:rPr>
                <w:noProof/>
                <w:webHidden/>
              </w:rPr>
            </w:r>
            <w:r>
              <w:rPr>
                <w:noProof/>
                <w:webHidden/>
              </w:rPr>
              <w:fldChar w:fldCharType="separate"/>
            </w:r>
            <w:r>
              <w:rPr>
                <w:noProof/>
                <w:webHidden/>
              </w:rPr>
              <w:t>4</w:t>
            </w:r>
            <w:r>
              <w:rPr>
                <w:noProof/>
                <w:webHidden/>
              </w:rPr>
              <w:fldChar w:fldCharType="end"/>
            </w:r>
          </w:hyperlink>
        </w:p>
        <w:p w14:paraId="24AB90C3" w14:textId="3E279FDA" w:rsidR="00192442" w:rsidRDefault="00192442">
          <w:pPr>
            <w:pStyle w:val="TOC1"/>
            <w:rPr>
              <w:rFonts w:asciiTheme="minorHAnsi" w:eastAsiaTheme="minorEastAsia" w:hAnsiTheme="minorHAnsi" w:cstheme="minorBidi"/>
              <w:noProof/>
              <w:kern w:val="2"/>
              <w:szCs w:val="24"/>
              <w:lang w:eastAsia="en-GB"/>
              <w14:ligatures w14:val="standardContextual"/>
            </w:rPr>
          </w:pPr>
          <w:hyperlink w:anchor="_Toc197615326" w:history="1">
            <w:r w:rsidRPr="008D2975">
              <w:rPr>
                <w:rStyle w:val="Hyperlink"/>
                <w:noProof/>
              </w:rPr>
              <w:t>13.</w:t>
            </w:r>
            <w:r>
              <w:rPr>
                <w:rFonts w:asciiTheme="minorHAnsi" w:eastAsiaTheme="minorEastAsia" w:hAnsiTheme="minorHAnsi" w:cstheme="minorBidi"/>
                <w:noProof/>
                <w:kern w:val="2"/>
                <w:szCs w:val="24"/>
                <w:lang w:eastAsia="en-GB"/>
                <w14:ligatures w14:val="standardContextual"/>
              </w:rPr>
              <w:tab/>
            </w:r>
            <w:r w:rsidRPr="008D2975">
              <w:rPr>
                <w:rStyle w:val="Hyperlink"/>
                <w:noProof/>
              </w:rPr>
              <w:t>Business Continuity – Rule 13</w:t>
            </w:r>
            <w:r>
              <w:rPr>
                <w:noProof/>
                <w:webHidden/>
              </w:rPr>
              <w:tab/>
            </w:r>
            <w:r>
              <w:rPr>
                <w:noProof/>
                <w:webHidden/>
              </w:rPr>
              <w:fldChar w:fldCharType="begin"/>
            </w:r>
            <w:r>
              <w:rPr>
                <w:noProof/>
                <w:webHidden/>
              </w:rPr>
              <w:instrText xml:space="preserve"> PAGEREF _Toc197615326 \h </w:instrText>
            </w:r>
            <w:r>
              <w:rPr>
                <w:noProof/>
                <w:webHidden/>
              </w:rPr>
            </w:r>
            <w:r>
              <w:rPr>
                <w:noProof/>
                <w:webHidden/>
              </w:rPr>
              <w:fldChar w:fldCharType="separate"/>
            </w:r>
            <w:r>
              <w:rPr>
                <w:noProof/>
                <w:webHidden/>
              </w:rPr>
              <w:t>4</w:t>
            </w:r>
            <w:r>
              <w:rPr>
                <w:noProof/>
                <w:webHidden/>
              </w:rPr>
              <w:fldChar w:fldCharType="end"/>
            </w:r>
          </w:hyperlink>
        </w:p>
        <w:p w14:paraId="64DD59C3" w14:textId="161D0C9C" w:rsidR="00192442" w:rsidRDefault="00192442">
          <w:pPr>
            <w:pStyle w:val="TOC1"/>
            <w:rPr>
              <w:rFonts w:asciiTheme="minorHAnsi" w:eastAsiaTheme="minorEastAsia" w:hAnsiTheme="minorHAnsi" w:cstheme="minorBidi"/>
              <w:noProof/>
              <w:kern w:val="2"/>
              <w:szCs w:val="24"/>
              <w:lang w:eastAsia="en-GB"/>
              <w14:ligatures w14:val="standardContextual"/>
            </w:rPr>
          </w:pPr>
          <w:hyperlink w:anchor="_Toc197615327" w:history="1">
            <w:r w:rsidRPr="008D2975">
              <w:rPr>
                <w:rStyle w:val="Hyperlink"/>
                <w:noProof/>
              </w:rPr>
              <w:t>14.</w:t>
            </w:r>
            <w:r>
              <w:rPr>
                <w:rFonts w:asciiTheme="minorHAnsi" w:eastAsiaTheme="minorEastAsia" w:hAnsiTheme="minorHAnsi" w:cstheme="minorBidi"/>
                <w:noProof/>
                <w:kern w:val="2"/>
                <w:szCs w:val="24"/>
                <w:lang w:eastAsia="en-GB"/>
                <w14:ligatures w14:val="standardContextual"/>
              </w:rPr>
              <w:tab/>
            </w:r>
            <w:r w:rsidRPr="008D2975">
              <w:rPr>
                <w:rStyle w:val="Hyperlink"/>
                <w:noProof/>
              </w:rPr>
              <w:t>UK General Data Protection Regulations (UK GDPR) and Cyber Security – Rule 13</w:t>
            </w:r>
            <w:r>
              <w:rPr>
                <w:noProof/>
                <w:webHidden/>
              </w:rPr>
              <w:tab/>
            </w:r>
            <w:r>
              <w:rPr>
                <w:noProof/>
                <w:webHidden/>
              </w:rPr>
              <w:fldChar w:fldCharType="begin"/>
            </w:r>
            <w:r>
              <w:rPr>
                <w:noProof/>
                <w:webHidden/>
              </w:rPr>
              <w:instrText xml:space="preserve"> PAGEREF _Toc197615327 \h </w:instrText>
            </w:r>
            <w:r>
              <w:rPr>
                <w:noProof/>
                <w:webHidden/>
              </w:rPr>
            </w:r>
            <w:r>
              <w:rPr>
                <w:noProof/>
                <w:webHidden/>
              </w:rPr>
              <w:fldChar w:fldCharType="separate"/>
            </w:r>
            <w:r>
              <w:rPr>
                <w:noProof/>
                <w:webHidden/>
              </w:rPr>
              <w:t>5</w:t>
            </w:r>
            <w:r>
              <w:rPr>
                <w:noProof/>
                <w:webHidden/>
              </w:rPr>
              <w:fldChar w:fldCharType="end"/>
            </w:r>
          </w:hyperlink>
        </w:p>
        <w:p w14:paraId="1AC96E46" w14:textId="2D70962F" w:rsidR="00192442" w:rsidRDefault="00192442">
          <w:pPr>
            <w:pStyle w:val="TOC1"/>
            <w:rPr>
              <w:rFonts w:asciiTheme="minorHAnsi" w:eastAsiaTheme="minorEastAsia" w:hAnsiTheme="minorHAnsi" w:cstheme="minorBidi"/>
              <w:noProof/>
              <w:kern w:val="2"/>
              <w:szCs w:val="24"/>
              <w:lang w:eastAsia="en-GB"/>
              <w14:ligatures w14:val="standardContextual"/>
            </w:rPr>
          </w:pPr>
          <w:hyperlink w:anchor="_Toc197615328" w:history="1">
            <w:r w:rsidRPr="008D2975">
              <w:rPr>
                <w:rStyle w:val="Hyperlink"/>
                <w:noProof/>
              </w:rPr>
              <w:t>15.</w:t>
            </w:r>
            <w:r>
              <w:rPr>
                <w:rFonts w:asciiTheme="minorHAnsi" w:eastAsiaTheme="minorEastAsia" w:hAnsiTheme="minorHAnsi" w:cstheme="minorBidi"/>
                <w:noProof/>
                <w:kern w:val="2"/>
                <w:szCs w:val="24"/>
                <w:lang w:eastAsia="en-GB"/>
                <w14:ligatures w14:val="standardContextual"/>
              </w:rPr>
              <w:tab/>
            </w:r>
            <w:r w:rsidRPr="008D2975">
              <w:rPr>
                <w:rStyle w:val="Hyperlink"/>
                <w:noProof/>
              </w:rPr>
              <w:t>Contracting Activity Governance – Approvals – Rule 14</w:t>
            </w:r>
            <w:r>
              <w:rPr>
                <w:noProof/>
                <w:webHidden/>
              </w:rPr>
              <w:tab/>
            </w:r>
            <w:r>
              <w:rPr>
                <w:noProof/>
                <w:webHidden/>
              </w:rPr>
              <w:fldChar w:fldCharType="begin"/>
            </w:r>
            <w:r>
              <w:rPr>
                <w:noProof/>
                <w:webHidden/>
              </w:rPr>
              <w:instrText xml:space="preserve"> PAGEREF _Toc197615328 \h </w:instrText>
            </w:r>
            <w:r>
              <w:rPr>
                <w:noProof/>
                <w:webHidden/>
              </w:rPr>
            </w:r>
            <w:r>
              <w:rPr>
                <w:noProof/>
                <w:webHidden/>
              </w:rPr>
              <w:fldChar w:fldCharType="separate"/>
            </w:r>
            <w:r>
              <w:rPr>
                <w:noProof/>
                <w:webHidden/>
              </w:rPr>
              <w:t>5</w:t>
            </w:r>
            <w:r>
              <w:rPr>
                <w:noProof/>
                <w:webHidden/>
              </w:rPr>
              <w:fldChar w:fldCharType="end"/>
            </w:r>
          </w:hyperlink>
        </w:p>
        <w:p w14:paraId="3C984481" w14:textId="5B0915C3" w:rsidR="00192442" w:rsidRDefault="00192442">
          <w:pPr>
            <w:pStyle w:val="TOC1"/>
            <w:rPr>
              <w:rFonts w:asciiTheme="minorHAnsi" w:eastAsiaTheme="minorEastAsia" w:hAnsiTheme="minorHAnsi" w:cstheme="minorBidi"/>
              <w:noProof/>
              <w:kern w:val="2"/>
              <w:szCs w:val="24"/>
              <w:lang w:eastAsia="en-GB"/>
              <w14:ligatures w14:val="standardContextual"/>
            </w:rPr>
          </w:pPr>
          <w:hyperlink w:anchor="_Toc197615329" w:history="1">
            <w:r w:rsidRPr="008D2975">
              <w:rPr>
                <w:rStyle w:val="Hyperlink"/>
                <w:noProof/>
              </w:rPr>
              <w:t>16.</w:t>
            </w:r>
            <w:r>
              <w:rPr>
                <w:rFonts w:asciiTheme="minorHAnsi" w:eastAsiaTheme="minorEastAsia" w:hAnsiTheme="minorHAnsi" w:cstheme="minorBidi"/>
                <w:noProof/>
                <w:kern w:val="2"/>
                <w:szCs w:val="24"/>
                <w:lang w:eastAsia="en-GB"/>
                <w14:ligatures w14:val="standardContextual"/>
              </w:rPr>
              <w:tab/>
            </w:r>
            <w:r w:rsidRPr="008D2975">
              <w:rPr>
                <w:rStyle w:val="Hyperlink"/>
                <w:noProof/>
              </w:rPr>
              <w:t>Specialist Procurement – Rule 15</w:t>
            </w:r>
            <w:r>
              <w:rPr>
                <w:noProof/>
                <w:webHidden/>
              </w:rPr>
              <w:tab/>
            </w:r>
            <w:r>
              <w:rPr>
                <w:noProof/>
                <w:webHidden/>
              </w:rPr>
              <w:fldChar w:fldCharType="begin"/>
            </w:r>
            <w:r>
              <w:rPr>
                <w:noProof/>
                <w:webHidden/>
              </w:rPr>
              <w:instrText xml:space="preserve"> PAGEREF _Toc197615329 \h </w:instrText>
            </w:r>
            <w:r>
              <w:rPr>
                <w:noProof/>
                <w:webHidden/>
              </w:rPr>
            </w:r>
            <w:r>
              <w:rPr>
                <w:noProof/>
                <w:webHidden/>
              </w:rPr>
              <w:fldChar w:fldCharType="separate"/>
            </w:r>
            <w:r>
              <w:rPr>
                <w:noProof/>
                <w:webHidden/>
              </w:rPr>
              <w:t>5</w:t>
            </w:r>
            <w:r>
              <w:rPr>
                <w:noProof/>
                <w:webHidden/>
              </w:rPr>
              <w:fldChar w:fldCharType="end"/>
            </w:r>
          </w:hyperlink>
        </w:p>
        <w:p w14:paraId="3888D0DF" w14:textId="49F4E34D" w:rsidR="00192442" w:rsidRDefault="00192442">
          <w:pPr>
            <w:pStyle w:val="TOC1"/>
            <w:rPr>
              <w:rFonts w:asciiTheme="minorHAnsi" w:eastAsiaTheme="minorEastAsia" w:hAnsiTheme="minorHAnsi" w:cstheme="minorBidi"/>
              <w:noProof/>
              <w:kern w:val="2"/>
              <w:szCs w:val="24"/>
              <w:lang w:eastAsia="en-GB"/>
              <w14:ligatures w14:val="standardContextual"/>
            </w:rPr>
          </w:pPr>
          <w:hyperlink w:anchor="_Toc197615330" w:history="1">
            <w:r w:rsidRPr="008D2975">
              <w:rPr>
                <w:rStyle w:val="Hyperlink"/>
                <w:noProof/>
              </w:rPr>
              <w:t>17.</w:t>
            </w:r>
            <w:r>
              <w:rPr>
                <w:rFonts w:asciiTheme="minorHAnsi" w:eastAsiaTheme="minorEastAsia" w:hAnsiTheme="minorHAnsi" w:cstheme="minorBidi"/>
                <w:noProof/>
                <w:kern w:val="2"/>
                <w:szCs w:val="24"/>
                <w:lang w:eastAsia="en-GB"/>
                <w14:ligatures w14:val="standardContextual"/>
              </w:rPr>
              <w:tab/>
            </w:r>
            <w:r w:rsidRPr="008D2975">
              <w:rPr>
                <w:rStyle w:val="Hyperlink"/>
                <w:noProof/>
              </w:rPr>
              <w:t>Estimating the Value of a Contract – Rule 16</w:t>
            </w:r>
            <w:r>
              <w:rPr>
                <w:noProof/>
                <w:webHidden/>
              </w:rPr>
              <w:tab/>
            </w:r>
            <w:r>
              <w:rPr>
                <w:noProof/>
                <w:webHidden/>
              </w:rPr>
              <w:fldChar w:fldCharType="begin"/>
            </w:r>
            <w:r>
              <w:rPr>
                <w:noProof/>
                <w:webHidden/>
              </w:rPr>
              <w:instrText xml:space="preserve"> PAGEREF _Toc197615330 \h </w:instrText>
            </w:r>
            <w:r>
              <w:rPr>
                <w:noProof/>
                <w:webHidden/>
              </w:rPr>
            </w:r>
            <w:r>
              <w:rPr>
                <w:noProof/>
                <w:webHidden/>
              </w:rPr>
              <w:fldChar w:fldCharType="separate"/>
            </w:r>
            <w:r>
              <w:rPr>
                <w:noProof/>
                <w:webHidden/>
              </w:rPr>
              <w:t>5</w:t>
            </w:r>
            <w:r>
              <w:rPr>
                <w:noProof/>
                <w:webHidden/>
              </w:rPr>
              <w:fldChar w:fldCharType="end"/>
            </w:r>
          </w:hyperlink>
        </w:p>
        <w:p w14:paraId="73C1C3D7" w14:textId="05AA9536" w:rsidR="00192442" w:rsidRDefault="00192442">
          <w:pPr>
            <w:pStyle w:val="TOC1"/>
            <w:rPr>
              <w:rFonts w:asciiTheme="minorHAnsi" w:eastAsiaTheme="minorEastAsia" w:hAnsiTheme="minorHAnsi" w:cstheme="minorBidi"/>
              <w:noProof/>
              <w:kern w:val="2"/>
              <w:szCs w:val="24"/>
              <w:lang w:eastAsia="en-GB"/>
              <w14:ligatures w14:val="standardContextual"/>
            </w:rPr>
          </w:pPr>
          <w:hyperlink w:anchor="_Toc197615331" w:history="1">
            <w:r w:rsidRPr="008D2975">
              <w:rPr>
                <w:rStyle w:val="Hyperlink"/>
                <w:noProof/>
              </w:rPr>
              <w:t>18.</w:t>
            </w:r>
            <w:r>
              <w:rPr>
                <w:rFonts w:asciiTheme="minorHAnsi" w:eastAsiaTheme="minorEastAsia" w:hAnsiTheme="minorHAnsi" w:cstheme="minorBidi"/>
                <w:noProof/>
                <w:kern w:val="2"/>
                <w:szCs w:val="24"/>
                <w:lang w:eastAsia="en-GB"/>
                <w14:ligatures w14:val="standardContextual"/>
              </w:rPr>
              <w:tab/>
            </w:r>
            <w:r w:rsidRPr="008D2975">
              <w:rPr>
                <w:rStyle w:val="Hyperlink"/>
                <w:noProof/>
              </w:rPr>
              <w:t>Framework Agreements and Dynamic Market Systems – Rule 17</w:t>
            </w:r>
            <w:r>
              <w:rPr>
                <w:noProof/>
                <w:webHidden/>
              </w:rPr>
              <w:tab/>
            </w:r>
            <w:r>
              <w:rPr>
                <w:noProof/>
                <w:webHidden/>
              </w:rPr>
              <w:fldChar w:fldCharType="begin"/>
            </w:r>
            <w:r>
              <w:rPr>
                <w:noProof/>
                <w:webHidden/>
              </w:rPr>
              <w:instrText xml:space="preserve"> PAGEREF _Toc197615331 \h </w:instrText>
            </w:r>
            <w:r>
              <w:rPr>
                <w:noProof/>
                <w:webHidden/>
              </w:rPr>
            </w:r>
            <w:r>
              <w:rPr>
                <w:noProof/>
                <w:webHidden/>
              </w:rPr>
              <w:fldChar w:fldCharType="separate"/>
            </w:r>
            <w:r>
              <w:rPr>
                <w:noProof/>
                <w:webHidden/>
              </w:rPr>
              <w:t>5</w:t>
            </w:r>
            <w:r>
              <w:rPr>
                <w:noProof/>
                <w:webHidden/>
              </w:rPr>
              <w:fldChar w:fldCharType="end"/>
            </w:r>
          </w:hyperlink>
        </w:p>
        <w:p w14:paraId="6B82FE39" w14:textId="62B115BF" w:rsidR="00192442" w:rsidRDefault="00192442">
          <w:pPr>
            <w:pStyle w:val="TOC1"/>
            <w:rPr>
              <w:rFonts w:asciiTheme="minorHAnsi" w:eastAsiaTheme="minorEastAsia" w:hAnsiTheme="minorHAnsi" w:cstheme="minorBidi"/>
              <w:noProof/>
              <w:kern w:val="2"/>
              <w:szCs w:val="24"/>
              <w:lang w:eastAsia="en-GB"/>
              <w14:ligatures w14:val="standardContextual"/>
            </w:rPr>
          </w:pPr>
          <w:hyperlink w:anchor="_Toc197615332" w:history="1">
            <w:r w:rsidRPr="008D2975">
              <w:rPr>
                <w:rStyle w:val="Hyperlink"/>
                <w:noProof/>
              </w:rPr>
              <w:t>19.</w:t>
            </w:r>
            <w:r>
              <w:rPr>
                <w:rFonts w:asciiTheme="minorHAnsi" w:eastAsiaTheme="minorEastAsia" w:hAnsiTheme="minorHAnsi" w:cstheme="minorBidi"/>
                <w:noProof/>
                <w:kern w:val="2"/>
                <w:szCs w:val="24"/>
                <w:lang w:eastAsia="en-GB"/>
                <w14:ligatures w14:val="standardContextual"/>
              </w:rPr>
              <w:tab/>
            </w:r>
            <w:r w:rsidRPr="008D2975">
              <w:rPr>
                <w:rStyle w:val="Hyperlink"/>
                <w:noProof/>
              </w:rPr>
              <w:t>Conflict of Interest – Rule 18</w:t>
            </w:r>
            <w:r>
              <w:rPr>
                <w:noProof/>
                <w:webHidden/>
              </w:rPr>
              <w:tab/>
            </w:r>
            <w:r>
              <w:rPr>
                <w:noProof/>
                <w:webHidden/>
              </w:rPr>
              <w:fldChar w:fldCharType="begin"/>
            </w:r>
            <w:r>
              <w:rPr>
                <w:noProof/>
                <w:webHidden/>
              </w:rPr>
              <w:instrText xml:space="preserve"> PAGEREF _Toc197615332 \h </w:instrText>
            </w:r>
            <w:r>
              <w:rPr>
                <w:noProof/>
                <w:webHidden/>
              </w:rPr>
            </w:r>
            <w:r>
              <w:rPr>
                <w:noProof/>
                <w:webHidden/>
              </w:rPr>
              <w:fldChar w:fldCharType="separate"/>
            </w:r>
            <w:r>
              <w:rPr>
                <w:noProof/>
                <w:webHidden/>
              </w:rPr>
              <w:t>5</w:t>
            </w:r>
            <w:r>
              <w:rPr>
                <w:noProof/>
                <w:webHidden/>
              </w:rPr>
              <w:fldChar w:fldCharType="end"/>
            </w:r>
          </w:hyperlink>
        </w:p>
        <w:p w14:paraId="1B5FB8EF" w14:textId="7DFADB89" w:rsidR="00192442" w:rsidRDefault="00192442">
          <w:pPr>
            <w:pStyle w:val="TOC1"/>
            <w:rPr>
              <w:rFonts w:asciiTheme="minorHAnsi" w:eastAsiaTheme="minorEastAsia" w:hAnsiTheme="minorHAnsi" w:cstheme="minorBidi"/>
              <w:noProof/>
              <w:kern w:val="2"/>
              <w:szCs w:val="24"/>
              <w:lang w:eastAsia="en-GB"/>
              <w14:ligatures w14:val="standardContextual"/>
            </w:rPr>
          </w:pPr>
          <w:hyperlink w:anchor="_Toc197615333" w:history="1">
            <w:r w:rsidRPr="008D2975">
              <w:rPr>
                <w:rStyle w:val="Hyperlink"/>
                <w:noProof/>
              </w:rPr>
              <w:t>20.</w:t>
            </w:r>
            <w:r>
              <w:rPr>
                <w:rFonts w:asciiTheme="minorHAnsi" w:eastAsiaTheme="minorEastAsia" w:hAnsiTheme="minorHAnsi" w:cstheme="minorBidi"/>
                <w:noProof/>
                <w:kern w:val="2"/>
                <w:szCs w:val="24"/>
                <w:lang w:eastAsia="en-GB"/>
                <w14:ligatures w14:val="standardContextual"/>
              </w:rPr>
              <w:tab/>
            </w:r>
            <w:r w:rsidRPr="008D2975">
              <w:rPr>
                <w:rStyle w:val="Hyperlink"/>
                <w:noProof/>
              </w:rPr>
              <w:t>Sustainable and Ethical Procurement Policy – Rule 19</w:t>
            </w:r>
            <w:r>
              <w:rPr>
                <w:noProof/>
                <w:webHidden/>
              </w:rPr>
              <w:tab/>
            </w:r>
            <w:r>
              <w:rPr>
                <w:noProof/>
                <w:webHidden/>
              </w:rPr>
              <w:fldChar w:fldCharType="begin"/>
            </w:r>
            <w:r>
              <w:rPr>
                <w:noProof/>
                <w:webHidden/>
              </w:rPr>
              <w:instrText xml:space="preserve"> PAGEREF _Toc197615333 \h </w:instrText>
            </w:r>
            <w:r>
              <w:rPr>
                <w:noProof/>
                <w:webHidden/>
              </w:rPr>
            </w:r>
            <w:r>
              <w:rPr>
                <w:noProof/>
                <w:webHidden/>
              </w:rPr>
              <w:fldChar w:fldCharType="separate"/>
            </w:r>
            <w:r>
              <w:rPr>
                <w:noProof/>
                <w:webHidden/>
              </w:rPr>
              <w:t>5</w:t>
            </w:r>
            <w:r>
              <w:rPr>
                <w:noProof/>
                <w:webHidden/>
              </w:rPr>
              <w:fldChar w:fldCharType="end"/>
            </w:r>
          </w:hyperlink>
        </w:p>
        <w:p w14:paraId="424675C7" w14:textId="6F2087BF" w:rsidR="00192442" w:rsidRDefault="00192442">
          <w:pPr>
            <w:pStyle w:val="TOC1"/>
            <w:rPr>
              <w:rFonts w:asciiTheme="minorHAnsi" w:eastAsiaTheme="minorEastAsia" w:hAnsiTheme="minorHAnsi" w:cstheme="minorBidi"/>
              <w:noProof/>
              <w:kern w:val="2"/>
              <w:szCs w:val="24"/>
              <w:lang w:eastAsia="en-GB"/>
              <w14:ligatures w14:val="standardContextual"/>
            </w:rPr>
          </w:pPr>
          <w:hyperlink w:anchor="_Toc197615334" w:history="1">
            <w:r w:rsidRPr="008D2975">
              <w:rPr>
                <w:rStyle w:val="Hyperlink"/>
                <w:noProof/>
              </w:rPr>
              <w:t>21.</w:t>
            </w:r>
            <w:r>
              <w:rPr>
                <w:rFonts w:asciiTheme="minorHAnsi" w:eastAsiaTheme="minorEastAsia" w:hAnsiTheme="minorHAnsi" w:cstheme="minorBidi"/>
                <w:noProof/>
                <w:kern w:val="2"/>
                <w:szCs w:val="24"/>
                <w:lang w:eastAsia="en-GB"/>
                <w14:ligatures w14:val="standardContextual"/>
              </w:rPr>
              <w:tab/>
            </w:r>
            <w:r w:rsidRPr="008D2975">
              <w:rPr>
                <w:rStyle w:val="Hyperlink"/>
                <w:noProof/>
              </w:rPr>
              <w:t>Procurement Thresholds – Rule 20</w:t>
            </w:r>
            <w:r>
              <w:rPr>
                <w:noProof/>
                <w:webHidden/>
              </w:rPr>
              <w:tab/>
            </w:r>
            <w:r>
              <w:rPr>
                <w:noProof/>
                <w:webHidden/>
              </w:rPr>
              <w:fldChar w:fldCharType="begin"/>
            </w:r>
            <w:r>
              <w:rPr>
                <w:noProof/>
                <w:webHidden/>
              </w:rPr>
              <w:instrText xml:space="preserve"> PAGEREF _Toc197615334 \h </w:instrText>
            </w:r>
            <w:r>
              <w:rPr>
                <w:noProof/>
                <w:webHidden/>
              </w:rPr>
            </w:r>
            <w:r>
              <w:rPr>
                <w:noProof/>
                <w:webHidden/>
              </w:rPr>
              <w:fldChar w:fldCharType="separate"/>
            </w:r>
            <w:r>
              <w:rPr>
                <w:noProof/>
                <w:webHidden/>
              </w:rPr>
              <w:t>5</w:t>
            </w:r>
            <w:r>
              <w:rPr>
                <w:noProof/>
                <w:webHidden/>
              </w:rPr>
              <w:fldChar w:fldCharType="end"/>
            </w:r>
          </w:hyperlink>
        </w:p>
        <w:p w14:paraId="24211BAD" w14:textId="15E7FD8E" w:rsidR="00192442" w:rsidRDefault="00192442">
          <w:pPr>
            <w:pStyle w:val="TOC1"/>
            <w:rPr>
              <w:rFonts w:asciiTheme="minorHAnsi" w:eastAsiaTheme="minorEastAsia" w:hAnsiTheme="minorHAnsi" w:cstheme="minorBidi"/>
              <w:noProof/>
              <w:kern w:val="2"/>
              <w:szCs w:val="24"/>
              <w:lang w:eastAsia="en-GB"/>
              <w14:ligatures w14:val="standardContextual"/>
            </w:rPr>
          </w:pPr>
          <w:hyperlink w:anchor="_Toc197615335" w:history="1">
            <w:r w:rsidRPr="008D2975">
              <w:rPr>
                <w:rStyle w:val="Hyperlink"/>
                <w:noProof/>
              </w:rPr>
              <w:t>22.</w:t>
            </w:r>
            <w:r>
              <w:rPr>
                <w:rFonts w:asciiTheme="minorHAnsi" w:eastAsiaTheme="minorEastAsia" w:hAnsiTheme="minorHAnsi" w:cstheme="minorBidi"/>
                <w:noProof/>
                <w:kern w:val="2"/>
                <w:szCs w:val="24"/>
                <w:lang w:eastAsia="en-GB"/>
                <w14:ligatures w14:val="standardContextual"/>
              </w:rPr>
              <w:tab/>
            </w:r>
            <w:r w:rsidRPr="008D2975">
              <w:rPr>
                <w:rStyle w:val="Hyperlink"/>
                <w:noProof/>
              </w:rPr>
              <w:t>Provider Selection Regime – Rule 21</w:t>
            </w:r>
            <w:r>
              <w:rPr>
                <w:noProof/>
                <w:webHidden/>
              </w:rPr>
              <w:tab/>
            </w:r>
            <w:r>
              <w:rPr>
                <w:noProof/>
                <w:webHidden/>
              </w:rPr>
              <w:fldChar w:fldCharType="begin"/>
            </w:r>
            <w:r>
              <w:rPr>
                <w:noProof/>
                <w:webHidden/>
              </w:rPr>
              <w:instrText xml:space="preserve"> PAGEREF _Toc197615335 \h </w:instrText>
            </w:r>
            <w:r>
              <w:rPr>
                <w:noProof/>
                <w:webHidden/>
              </w:rPr>
            </w:r>
            <w:r>
              <w:rPr>
                <w:noProof/>
                <w:webHidden/>
              </w:rPr>
              <w:fldChar w:fldCharType="separate"/>
            </w:r>
            <w:r>
              <w:rPr>
                <w:noProof/>
                <w:webHidden/>
              </w:rPr>
              <w:t>5</w:t>
            </w:r>
            <w:r>
              <w:rPr>
                <w:noProof/>
                <w:webHidden/>
              </w:rPr>
              <w:fldChar w:fldCharType="end"/>
            </w:r>
          </w:hyperlink>
        </w:p>
        <w:p w14:paraId="252F8129" w14:textId="420B12A8" w:rsidR="00192442" w:rsidRDefault="00192442">
          <w:pPr>
            <w:pStyle w:val="TOC1"/>
            <w:rPr>
              <w:rFonts w:asciiTheme="minorHAnsi" w:eastAsiaTheme="minorEastAsia" w:hAnsiTheme="minorHAnsi" w:cstheme="minorBidi"/>
              <w:noProof/>
              <w:kern w:val="2"/>
              <w:szCs w:val="24"/>
              <w:lang w:eastAsia="en-GB"/>
              <w14:ligatures w14:val="standardContextual"/>
            </w:rPr>
          </w:pPr>
          <w:hyperlink w:anchor="_Toc197615336" w:history="1">
            <w:r w:rsidRPr="008D2975">
              <w:rPr>
                <w:rStyle w:val="Hyperlink"/>
                <w:noProof/>
              </w:rPr>
              <w:t>23.</w:t>
            </w:r>
            <w:r>
              <w:rPr>
                <w:rFonts w:asciiTheme="minorHAnsi" w:eastAsiaTheme="minorEastAsia" w:hAnsiTheme="minorHAnsi" w:cstheme="minorBidi"/>
                <w:noProof/>
                <w:kern w:val="2"/>
                <w:szCs w:val="24"/>
                <w:lang w:eastAsia="en-GB"/>
                <w14:ligatures w14:val="standardContextual"/>
              </w:rPr>
              <w:tab/>
            </w:r>
            <w:r w:rsidRPr="008D2975">
              <w:rPr>
                <w:rStyle w:val="Hyperlink"/>
                <w:noProof/>
              </w:rPr>
              <w:t>Light Touch Services – Rule 22</w:t>
            </w:r>
            <w:r>
              <w:rPr>
                <w:noProof/>
                <w:webHidden/>
              </w:rPr>
              <w:tab/>
            </w:r>
            <w:r>
              <w:rPr>
                <w:noProof/>
                <w:webHidden/>
              </w:rPr>
              <w:fldChar w:fldCharType="begin"/>
            </w:r>
            <w:r>
              <w:rPr>
                <w:noProof/>
                <w:webHidden/>
              </w:rPr>
              <w:instrText xml:space="preserve"> PAGEREF _Toc197615336 \h </w:instrText>
            </w:r>
            <w:r>
              <w:rPr>
                <w:noProof/>
                <w:webHidden/>
              </w:rPr>
            </w:r>
            <w:r>
              <w:rPr>
                <w:noProof/>
                <w:webHidden/>
              </w:rPr>
              <w:fldChar w:fldCharType="separate"/>
            </w:r>
            <w:r>
              <w:rPr>
                <w:noProof/>
                <w:webHidden/>
              </w:rPr>
              <w:t>6</w:t>
            </w:r>
            <w:r>
              <w:rPr>
                <w:noProof/>
                <w:webHidden/>
              </w:rPr>
              <w:fldChar w:fldCharType="end"/>
            </w:r>
          </w:hyperlink>
        </w:p>
        <w:p w14:paraId="2A7AB60C" w14:textId="400D0C04" w:rsidR="00192442" w:rsidRDefault="00192442">
          <w:pPr>
            <w:pStyle w:val="TOC1"/>
            <w:rPr>
              <w:rFonts w:asciiTheme="minorHAnsi" w:eastAsiaTheme="minorEastAsia" w:hAnsiTheme="minorHAnsi" w:cstheme="minorBidi"/>
              <w:noProof/>
              <w:kern w:val="2"/>
              <w:szCs w:val="24"/>
              <w:lang w:eastAsia="en-GB"/>
              <w14:ligatures w14:val="standardContextual"/>
            </w:rPr>
          </w:pPr>
          <w:hyperlink w:anchor="_Toc197615337" w:history="1">
            <w:r w:rsidRPr="008D2975">
              <w:rPr>
                <w:rStyle w:val="Hyperlink"/>
                <w:noProof/>
              </w:rPr>
              <w:t>24.</w:t>
            </w:r>
            <w:r>
              <w:rPr>
                <w:rFonts w:asciiTheme="minorHAnsi" w:eastAsiaTheme="minorEastAsia" w:hAnsiTheme="minorHAnsi" w:cstheme="minorBidi"/>
                <w:noProof/>
                <w:kern w:val="2"/>
                <w:szCs w:val="24"/>
                <w:lang w:eastAsia="en-GB"/>
                <w14:ligatures w14:val="standardContextual"/>
              </w:rPr>
              <w:tab/>
            </w:r>
            <w:r w:rsidRPr="008D2975">
              <w:rPr>
                <w:rStyle w:val="Hyperlink"/>
                <w:noProof/>
              </w:rPr>
              <w:t>Notifications – Rule 23</w:t>
            </w:r>
            <w:r>
              <w:rPr>
                <w:noProof/>
                <w:webHidden/>
              </w:rPr>
              <w:tab/>
            </w:r>
            <w:r>
              <w:rPr>
                <w:noProof/>
                <w:webHidden/>
              </w:rPr>
              <w:fldChar w:fldCharType="begin"/>
            </w:r>
            <w:r>
              <w:rPr>
                <w:noProof/>
                <w:webHidden/>
              </w:rPr>
              <w:instrText xml:space="preserve"> PAGEREF _Toc197615337 \h </w:instrText>
            </w:r>
            <w:r>
              <w:rPr>
                <w:noProof/>
                <w:webHidden/>
              </w:rPr>
            </w:r>
            <w:r>
              <w:rPr>
                <w:noProof/>
                <w:webHidden/>
              </w:rPr>
              <w:fldChar w:fldCharType="separate"/>
            </w:r>
            <w:r>
              <w:rPr>
                <w:noProof/>
                <w:webHidden/>
              </w:rPr>
              <w:t>6</w:t>
            </w:r>
            <w:r>
              <w:rPr>
                <w:noProof/>
                <w:webHidden/>
              </w:rPr>
              <w:fldChar w:fldCharType="end"/>
            </w:r>
          </w:hyperlink>
        </w:p>
        <w:p w14:paraId="40A6AE05" w14:textId="58CD59F3" w:rsidR="00192442" w:rsidRDefault="00192442">
          <w:pPr>
            <w:pStyle w:val="TOC1"/>
            <w:rPr>
              <w:rFonts w:asciiTheme="minorHAnsi" w:eastAsiaTheme="minorEastAsia" w:hAnsiTheme="minorHAnsi" w:cstheme="minorBidi"/>
              <w:noProof/>
              <w:kern w:val="2"/>
              <w:szCs w:val="24"/>
              <w:lang w:eastAsia="en-GB"/>
              <w14:ligatures w14:val="standardContextual"/>
            </w:rPr>
          </w:pPr>
          <w:hyperlink w:anchor="_Toc197615338" w:history="1">
            <w:r w:rsidRPr="008D2975">
              <w:rPr>
                <w:rStyle w:val="Hyperlink"/>
                <w:noProof/>
              </w:rPr>
              <w:t>25.</w:t>
            </w:r>
            <w:r>
              <w:rPr>
                <w:rFonts w:asciiTheme="minorHAnsi" w:eastAsiaTheme="minorEastAsia" w:hAnsiTheme="minorHAnsi" w:cstheme="minorBidi"/>
                <w:noProof/>
                <w:kern w:val="2"/>
                <w:szCs w:val="24"/>
                <w:lang w:eastAsia="en-GB"/>
                <w14:ligatures w14:val="standardContextual"/>
              </w:rPr>
              <w:tab/>
            </w:r>
            <w:r w:rsidRPr="008D2975">
              <w:rPr>
                <w:rStyle w:val="Hyperlink"/>
                <w:noProof/>
              </w:rPr>
              <w:t>Preliminary Market Engagement – Rule 24</w:t>
            </w:r>
            <w:r>
              <w:rPr>
                <w:noProof/>
                <w:webHidden/>
              </w:rPr>
              <w:tab/>
            </w:r>
            <w:r>
              <w:rPr>
                <w:noProof/>
                <w:webHidden/>
              </w:rPr>
              <w:fldChar w:fldCharType="begin"/>
            </w:r>
            <w:r>
              <w:rPr>
                <w:noProof/>
                <w:webHidden/>
              </w:rPr>
              <w:instrText xml:space="preserve"> PAGEREF _Toc197615338 \h </w:instrText>
            </w:r>
            <w:r>
              <w:rPr>
                <w:noProof/>
                <w:webHidden/>
              </w:rPr>
            </w:r>
            <w:r>
              <w:rPr>
                <w:noProof/>
                <w:webHidden/>
              </w:rPr>
              <w:fldChar w:fldCharType="separate"/>
            </w:r>
            <w:r>
              <w:rPr>
                <w:noProof/>
                <w:webHidden/>
              </w:rPr>
              <w:t>6</w:t>
            </w:r>
            <w:r>
              <w:rPr>
                <w:noProof/>
                <w:webHidden/>
              </w:rPr>
              <w:fldChar w:fldCharType="end"/>
            </w:r>
          </w:hyperlink>
        </w:p>
        <w:p w14:paraId="556ED07B" w14:textId="539F2B55" w:rsidR="00192442" w:rsidRDefault="00192442">
          <w:pPr>
            <w:pStyle w:val="TOC1"/>
            <w:rPr>
              <w:rFonts w:asciiTheme="minorHAnsi" w:eastAsiaTheme="minorEastAsia" w:hAnsiTheme="minorHAnsi" w:cstheme="minorBidi"/>
              <w:noProof/>
              <w:kern w:val="2"/>
              <w:szCs w:val="24"/>
              <w:lang w:eastAsia="en-GB"/>
              <w14:ligatures w14:val="standardContextual"/>
            </w:rPr>
          </w:pPr>
          <w:hyperlink w:anchor="_Toc197615339" w:history="1">
            <w:r w:rsidRPr="008D2975">
              <w:rPr>
                <w:rStyle w:val="Hyperlink"/>
                <w:noProof/>
              </w:rPr>
              <w:t>26.</w:t>
            </w:r>
            <w:r>
              <w:rPr>
                <w:rFonts w:asciiTheme="minorHAnsi" w:eastAsiaTheme="minorEastAsia" w:hAnsiTheme="minorHAnsi" w:cstheme="minorBidi"/>
                <w:noProof/>
                <w:kern w:val="2"/>
                <w:szCs w:val="24"/>
                <w:lang w:eastAsia="en-GB"/>
                <w14:ligatures w14:val="standardContextual"/>
              </w:rPr>
              <w:tab/>
            </w:r>
            <w:r w:rsidRPr="008D2975">
              <w:rPr>
                <w:rStyle w:val="Hyperlink"/>
                <w:noProof/>
              </w:rPr>
              <w:t>Receipt and Opening of Tenders and Quotes – Rule 25</w:t>
            </w:r>
            <w:r>
              <w:rPr>
                <w:noProof/>
                <w:webHidden/>
              </w:rPr>
              <w:tab/>
            </w:r>
            <w:r>
              <w:rPr>
                <w:noProof/>
                <w:webHidden/>
              </w:rPr>
              <w:fldChar w:fldCharType="begin"/>
            </w:r>
            <w:r>
              <w:rPr>
                <w:noProof/>
                <w:webHidden/>
              </w:rPr>
              <w:instrText xml:space="preserve"> PAGEREF _Toc197615339 \h </w:instrText>
            </w:r>
            <w:r>
              <w:rPr>
                <w:noProof/>
                <w:webHidden/>
              </w:rPr>
            </w:r>
            <w:r>
              <w:rPr>
                <w:noProof/>
                <w:webHidden/>
              </w:rPr>
              <w:fldChar w:fldCharType="separate"/>
            </w:r>
            <w:r>
              <w:rPr>
                <w:noProof/>
                <w:webHidden/>
              </w:rPr>
              <w:t>6</w:t>
            </w:r>
            <w:r>
              <w:rPr>
                <w:noProof/>
                <w:webHidden/>
              </w:rPr>
              <w:fldChar w:fldCharType="end"/>
            </w:r>
          </w:hyperlink>
        </w:p>
        <w:p w14:paraId="1740D049" w14:textId="458A5CC2" w:rsidR="00192442" w:rsidRDefault="00192442">
          <w:pPr>
            <w:pStyle w:val="TOC1"/>
            <w:rPr>
              <w:rFonts w:asciiTheme="minorHAnsi" w:eastAsiaTheme="minorEastAsia" w:hAnsiTheme="minorHAnsi" w:cstheme="minorBidi"/>
              <w:noProof/>
              <w:kern w:val="2"/>
              <w:szCs w:val="24"/>
              <w:lang w:eastAsia="en-GB"/>
              <w14:ligatures w14:val="standardContextual"/>
            </w:rPr>
          </w:pPr>
          <w:hyperlink w:anchor="_Toc197615340" w:history="1">
            <w:r w:rsidRPr="008D2975">
              <w:rPr>
                <w:rStyle w:val="Hyperlink"/>
                <w:noProof/>
              </w:rPr>
              <w:t>27.</w:t>
            </w:r>
            <w:r>
              <w:rPr>
                <w:rFonts w:asciiTheme="minorHAnsi" w:eastAsiaTheme="minorEastAsia" w:hAnsiTheme="minorHAnsi" w:cstheme="minorBidi"/>
                <w:noProof/>
                <w:kern w:val="2"/>
                <w:szCs w:val="24"/>
                <w:lang w:eastAsia="en-GB"/>
                <w14:ligatures w14:val="standardContextual"/>
              </w:rPr>
              <w:tab/>
            </w:r>
            <w:r w:rsidRPr="008D2975">
              <w:rPr>
                <w:rStyle w:val="Hyperlink"/>
                <w:noProof/>
              </w:rPr>
              <w:t>Award Criteria and Evaluation – Rule 26</w:t>
            </w:r>
            <w:r>
              <w:rPr>
                <w:noProof/>
                <w:webHidden/>
              </w:rPr>
              <w:tab/>
            </w:r>
            <w:r>
              <w:rPr>
                <w:noProof/>
                <w:webHidden/>
              </w:rPr>
              <w:fldChar w:fldCharType="begin"/>
            </w:r>
            <w:r>
              <w:rPr>
                <w:noProof/>
                <w:webHidden/>
              </w:rPr>
              <w:instrText xml:space="preserve"> PAGEREF _Toc197615340 \h </w:instrText>
            </w:r>
            <w:r>
              <w:rPr>
                <w:noProof/>
                <w:webHidden/>
              </w:rPr>
            </w:r>
            <w:r>
              <w:rPr>
                <w:noProof/>
                <w:webHidden/>
              </w:rPr>
              <w:fldChar w:fldCharType="separate"/>
            </w:r>
            <w:r>
              <w:rPr>
                <w:noProof/>
                <w:webHidden/>
              </w:rPr>
              <w:t>7</w:t>
            </w:r>
            <w:r>
              <w:rPr>
                <w:noProof/>
                <w:webHidden/>
              </w:rPr>
              <w:fldChar w:fldCharType="end"/>
            </w:r>
          </w:hyperlink>
        </w:p>
        <w:p w14:paraId="2C832C94" w14:textId="6D3270C0" w:rsidR="00192442" w:rsidRDefault="00192442">
          <w:pPr>
            <w:pStyle w:val="TOC1"/>
            <w:rPr>
              <w:rFonts w:asciiTheme="minorHAnsi" w:eastAsiaTheme="minorEastAsia" w:hAnsiTheme="minorHAnsi" w:cstheme="minorBidi"/>
              <w:noProof/>
              <w:kern w:val="2"/>
              <w:szCs w:val="24"/>
              <w:lang w:eastAsia="en-GB"/>
              <w14:ligatures w14:val="standardContextual"/>
            </w:rPr>
          </w:pPr>
          <w:hyperlink w:anchor="_Toc197615341" w:history="1">
            <w:r w:rsidRPr="008D2975">
              <w:rPr>
                <w:rStyle w:val="Hyperlink"/>
                <w:noProof/>
              </w:rPr>
              <w:t>28.</w:t>
            </w:r>
            <w:r>
              <w:rPr>
                <w:rFonts w:asciiTheme="minorHAnsi" w:eastAsiaTheme="minorEastAsia" w:hAnsiTheme="minorHAnsi" w:cstheme="minorBidi"/>
                <w:noProof/>
                <w:kern w:val="2"/>
                <w:szCs w:val="24"/>
                <w:lang w:eastAsia="en-GB"/>
                <w14:ligatures w14:val="standardContextual"/>
              </w:rPr>
              <w:tab/>
            </w:r>
            <w:r w:rsidRPr="008D2975">
              <w:rPr>
                <w:rStyle w:val="Hyperlink"/>
                <w:noProof/>
              </w:rPr>
              <w:t>Contract Award and Execution – Rule 27</w:t>
            </w:r>
            <w:r>
              <w:rPr>
                <w:noProof/>
                <w:webHidden/>
              </w:rPr>
              <w:tab/>
            </w:r>
            <w:r>
              <w:rPr>
                <w:noProof/>
                <w:webHidden/>
              </w:rPr>
              <w:fldChar w:fldCharType="begin"/>
            </w:r>
            <w:r>
              <w:rPr>
                <w:noProof/>
                <w:webHidden/>
              </w:rPr>
              <w:instrText xml:space="preserve"> PAGEREF _Toc197615341 \h </w:instrText>
            </w:r>
            <w:r>
              <w:rPr>
                <w:noProof/>
                <w:webHidden/>
              </w:rPr>
            </w:r>
            <w:r>
              <w:rPr>
                <w:noProof/>
                <w:webHidden/>
              </w:rPr>
              <w:fldChar w:fldCharType="separate"/>
            </w:r>
            <w:r>
              <w:rPr>
                <w:noProof/>
                <w:webHidden/>
              </w:rPr>
              <w:t>7</w:t>
            </w:r>
            <w:r>
              <w:rPr>
                <w:noProof/>
                <w:webHidden/>
              </w:rPr>
              <w:fldChar w:fldCharType="end"/>
            </w:r>
          </w:hyperlink>
        </w:p>
        <w:p w14:paraId="3F51FC1D" w14:textId="6557DFDB" w:rsidR="00192442" w:rsidRDefault="00192442">
          <w:pPr>
            <w:pStyle w:val="TOC1"/>
            <w:rPr>
              <w:rFonts w:asciiTheme="minorHAnsi" w:eastAsiaTheme="minorEastAsia" w:hAnsiTheme="minorHAnsi" w:cstheme="minorBidi"/>
              <w:noProof/>
              <w:kern w:val="2"/>
              <w:szCs w:val="24"/>
              <w:lang w:eastAsia="en-GB"/>
              <w14:ligatures w14:val="standardContextual"/>
            </w:rPr>
          </w:pPr>
          <w:hyperlink w:anchor="_Toc197615342" w:history="1">
            <w:r w:rsidRPr="008D2975">
              <w:rPr>
                <w:rStyle w:val="Hyperlink"/>
                <w:noProof/>
              </w:rPr>
              <w:t>29.</w:t>
            </w:r>
            <w:r>
              <w:rPr>
                <w:rFonts w:asciiTheme="minorHAnsi" w:eastAsiaTheme="minorEastAsia" w:hAnsiTheme="minorHAnsi" w:cstheme="minorBidi"/>
                <w:noProof/>
                <w:kern w:val="2"/>
                <w:szCs w:val="24"/>
                <w:lang w:eastAsia="en-GB"/>
                <w14:ligatures w14:val="standardContextual"/>
              </w:rPr>
              <w:tab/>
            </w:r>
            <w:r w:rsidRPr="008D2975">
              <w:rPr>
                <w:rStyle w:val="Hyperlink"/>
                <w:noProof/>
              </w:rPr>
              <w:t>Post-Tender Negotiations – Rule 28</w:t>
            </w:r>
            <w:r>
              <w:rPr>
                <w:noProof/>
                <w:webHidden/>
              </w:rPr>
              <w:tab/>
            </w:r>
            <w:r>
              <w:rPr>
                <w:noProof/>
                <w:webHidden/>
              </w:rPr>
              <w:fldChar w:fldCharType="begin"/>
            </w:r>
            <w:r>
              <w:rPr>
                <w:noProof/>
                <w:webHidden/>
              </w:rPr>
              <w:instrText xml:space="preserve"> PAGEREF _Toc197615342 \h </w:instrText>
            </w:r>
            <w:r>
              <w:rPr>
                <w:noProof/>
                <w:webHidden/>
              </w:rPr>
            </w:r>
            <w:r>
              <w:rPr>
                <w:noProof/>
                <w:webHidden/>
              </w:rPr>
              <w:fldChar w:fldCharType="separate"/>
            </w:r>
            <w:r>
              <w:rPr>
                <w:noProof/>
                <w:webHidden/>
              </w:rPr>
              <w:t>7</w:t>
            </w:r>
            <w:r>
              <w:rPr>
                <w:noProof/>
                <w:webHidden/>
              </w:rPr>
              <w:fldChar w:fldCharType="end"/>
            </w:r>
          </w:hyperlink>
        </w:p>
        <w:p w14:paraId="4741AFEA" w14:textId="1EEEA151" w:rsidR="00192442" w:rsidRDefault="00192442">
          <w:pPr>
            <w:pStyle w:val="TOC1"/>
            <w:rPr>
              <w:rFonts w:asciiTheme="minorHAnsi" w:eastAsiaTheme="minorEastAsia" w:hAnsiTheme="minorHAnsi" w:cstheme="minorBidi"/>
              <w:noProof/>
              <w:kern w:val="2"/>
              <w:szCs w:val="24"/>
              <w:lang w:eastAsia="en-GB"/>
              <w14:ligatures w14:val="standardContextual"/>
            </w:rPr>
          </w:pPr>
          <w:hyperlink w:anchor="_Toc197615343" w:history="1">
            <w:r w:rsidRPr="008D2975">
              <w:rPr>
                <w:rStyle w:val="Hyperlink"/>
                <w:noProof/>
              </w:rPr>
              <w:t>30.</w:t>
            </w:r>
            <w:r>
              <w:rPr>
                <w:rFonts w:asciiTheme="minorHAnsi" w:eastAsiaTheme="minorEastAsia" w:hAnsiTheme="minorHAnsi" w:cstheme="minorBidi"/>
                <w:noProof/>
                <w:kern w:val="2"/>
                <w:szCs w:val="24"/>
                <w:lang w:eastAsia="en-GB"/>
                <w14:ligatures w14:val="standardContextual"/>
              </w:rPr>
              <w:tab/>
            </w:r>
            <w:r w:rsidRPr="008D2975">
              <w:rPr>
                <w:rStyle w:val="Hyperlink"/>
                <w:noProof/>
              </w:rPr>
              <w:t>Contract Modifications, Novation &amp; Termination to Contracts – Rule 29</w:t>
            </w:r>
            <w:r>
              <w:rPr>
                <w:noProof/>
                <w:webHidden/>
              </w:rPr>
              <w:tab/>
            </w:r>
            <w:r>
              <w:rPr>
                <w:noProof/>
                <w:webHidden/>
              </w:rPr>
              <w:fldChar w:fldCharType="begin"/>
            </w:r>
            <w:r>
              <w:rPr>
                <w:noProof/>
                <w:webHidden/>
              </w:rPr>
              <w:instrText xml:space="preserve"> PAGEREF _Toc197615343 \h </w:instrText>
            </w:r>
            <w:r>
              <w:rPr>
                <w:noProof/>
                <w:webHidden/>
              </w:rPr>
            </w:r>
            <w:r>
              <w:rPr>
                <w:noProof/>
                <w:webHidden/>
              </w:rPr>
              <w:fldChar w:fldCharType="separate"/>
            </w:r>
            <w:r>
              <w:rPr>
                <w:noProof/>
                <w:webHidden/>
              </w:rPr>
              <w:t>7</w:t>
            </w:r>
            <w:r>
              <w:rPr>
                <w:noProof/>
                <w:webHidden/>
              </w:rPr>
              <w:fldChar w:fldCharType="end"/>
            </w:r>
          </w:hyperlink>
        </w:p>
        <w:p w14:paraId="3E067382" w14:textId="4DD484EF" w:rsidR="00192442" w:rsidRDefault="00192442">
          <w:pPr>
            <w:pStyle w:val="TOC1"/>
            <w:rPr>
              <w:rFonts w:asciiTheme="minorHAnsi" w:eastAsiaTheme="minorEastAsia" w:hAnsiTheme="minorHAnsi" w:cstheme="minorBidi"/>
              <w:noProof/>
              <w:kern w:val="2"/>
              <w:szCs w:val="24"/>
              <w:lang w:eastAsia="en-GB"/>
              <w14:ligatures w14:val="standardContextual"/>
            </w:rPr>
          </w:pPr>
          <w:hyperlink w:anchor="_Toc197615344" w:history="1">
            <w:r w:rsidRPr="008D2975">
              <w:rPr>
                <w:rStyle w:val="Hyperlink"/>
                <w:noProof/>
              </w:rPr>
              <w:t>31.</w:t>
            </w:r>
            <w:r>
              <w:rPr>
                <w:rFonts w:asciiTheme="minorHAnsi" w:eastAsiaTheme="minorEastAsia" w:hAnsiTheme="minorHAnsi" w:cstheme="minorBidi"/>
                <w:noProof/>
                <w:kern w:val="2"/>
                <w:szCs w:val="24"/>
                <w:lang w:eastAsia="en-GB"/>
                <w14:ligatures w14:val="standardContextual"/>
              </w:rPr>
              <w:tab/>
            </w:r>
            <w:r w:rsidRPr="008D2975">
              <w:rPr>
                <w:rStyle w:val="Hyperlink"/>
                <w:noProof/>
              </w:rPr>
              <w:t>Contract Management – Rule 30</w:t>
            </w:r>
            <w:r>
              <w:rPr>
                <w:noProof/>
                <w:webHidden/>
              </w:rPr>
              <w:tab/>
            </w:r>
            <w:r>
              <w:rPr>
                <w:noProof/>
                <w:webHidden/>
              </w:rPr>
              <w:fldChar w:fldCharType="begin"/>
            </w:r>
            <w:r>
              <w:rPr>
                <w:noProof/>
                <w:webHidden/>
              </w:rPr>
              <w:instrText xml:space="preserve"> PAGEREF _Toc197615344 \h </w:instrText>
            </w:r>
            <w:r>
              <w:rPr>
                <w:noProof/>
                <w:webHidden/>
              </w:rPr>
            </w:r>
            <w:r>
              <w:rPr>
                <w:noProof/>
                <w:webHidden/>
              </w:rPr>
              <w:fldChar w:fldCharType="separate"/>
            </w:r>
            <w:r>
              <w:rPr>
                <w:noProof/>
                <w:webHidden/>
              </w:rPr>
              <w:t>7</w:t>
            </w:r>
            <w:r>
              <w:rPr>
                <w:noProof/>
                <w:webHidden/>
              </w:rPr>
              <w:fldChar w:fldCharType="end"/>
            </w:r>
          </w:hyperlink>
        </w:p>
        <w:p w14:paraId="188A115B" w14:textId="027424D2" w:rsidR="00192442" w:rsidRDefault="00192442">
          <w:pPr>
            <w:pStyle w:val="TOC1"/>
            <w:rPr>
              <w:rFonts w:asciiTheme="minorHAnsi" w:eastAsiaTheme="minorEastAsia" w:hAnsiTheme="minorHAnsi" w:cstheme="minorBidi"/>
              <w:noProof/>
              <w:kern w:val="2"/>
              <w:szCs w:val="24"/>
              <w:lang w:eastAsia="en-GB"/>
              <w14:ligatures w14:val="standardContextual"/>
            </w:rPr>
          </w:pPr>
          <w:hyperlink w:anchor="_Toc197615345" w:history="1">
            <w:r w:rsidRPr="008D2975">
              <w:rPr>
                <w:rStyle w:val="Hyperlink"/>
                <w:noProof/>
              </w:rPr>
              <w:t>32.</w:t>
            </w:r>
            <w:r>
              <w:rPr>
                <w:rFonts w:asciiTheme="minorHAnsi" w:eastAsiaTheme="minorEastAsia" w:hAnsiTheme="minorHAnsi" w:cstheme="minorBidi"/>
                <w:noProof/>
                <w:kern w:val="2"/>
                <w:szCs w:val="24"/>
                <w:lang w:eastAsia="en-GB"/>
                <w14:ligatures w14:val="standardContextual"/>
              </w:rPr>
              <w:tab/>
            </w:r>
            <w:r w:rsidRPr="008D2975">
              <w:rPr>
                <w:rStyle w:val="Hyperlink"/>
                <w:noProof/>
              </w:rPr>
              <w:t>Contracts, Terms and Conditions – Rule 31</w:t>
            </w:r>
            <w:r>
              <w:rPr>
                <w:noProof/>
                <w:webHidden/>
              </w:rPr>
              <w:tab/>
            </w:r>
            <w:r>
              <w:rPr>
                <w:noProof/>
                <w:webHidden/>
              </w:rPr>
              <w:fldChar w:fldCharType="begin"/>
            </w:r>
            <w:r>
              <w:rPr>
                <w:noProof/>
                <w:webHidden/>
              </w:rPr>
              <w:instrText xml:space="preserve"> PAGEREF _Toc197615345 \h </w:instrText>
            </w:r>
            <w:r>
              <w:rPr>
                <w:noProof/>
                <w:webHidden/>
              </w:rPr>
            </w:r>
            <w:r>
              <w:rPr>
                <w:noProof/>
                <w:webHidden/>
              </w:rPr>
              <w:fldChar w:fldCharType="separate"/>
            </w:r>
            <w:r>
              <w:rPr>
                <w:noProof/>
                <w:webHidden/>
              </w:rPr>
              <w:t>7</w:t>
            </w:r>
            <w:r>
              <w:rPr>
                <w:noProof/>
                <w:webHidden/>
              </w:rPr>
              <w:fldChar w:fldCharType="end"/>
            </w:r>
          </w:hyperlink>
        </w:p>
        <w:p w14:paraId="03C87C58" w14:textId="04A9FEEF" w:rsidR="00192442" w:rsidRDefault="00192442">
          <w:pPr>
            <w:pStyle w:val="TOC1"/>
            <w:rPr>
              <w:rFonts w:asciiTheme="minorHAnsi" w:eastAsiaTheme="minorEastAsia" w:hAnsiTheme="minorHAnsi" w:cstheme="minorBidi"/>
              <w:noProof/>
              <w:kern w:val="2"/>
              <w:szCs w:val="24"/>
              <w:lang w:eastAsia="en-GB"/>
              <w14:ligatures w14:val="standardContextual"/>
            </w:rPr>
          </w:pPr>
          <w:hyperlink w:anchor="_Toc197615346" w:history="1">
            <w:r w:rsidRPr="008D2975">
              <w:rPr>
                <w:rStyle w:val="Hyperlink"/>
                <w:noProof/>
              </w:rPr>
              <w:t>33.</w:t>
            </w:r>
            <w:r>
              <w:rPr>
                <w:rFonts w:asciiTheme="minorHAnsi" w:eastAsiaTheme="minorEastAsia" w:hAnsiTheme="minorHAnsi" w:cstheme="minorBidi"/>
                <w:noProof/>
                <w:kern w:val="2"/>
                <w:szCs w:val="24"/>
                <w:lang w:eastAsia="en-GB"/>
                <w14:ligatures w14:val="standardContextual"/>
              </w:rPr>
              <w:tab/>
            </w:r>
            <w:r w:rsidRPr="008D2975">
              <w:rPr>
                <w:rStyle w:val="Hyperlink"/>
                <w:noProof/>
              </w:rPr>
              <w:t>Record Keeping – Rule 32</w:t>
            </w:r>
            <w:r>
              <w:rPr>
                <w:noProof/>
                <w:webHidden/>
              </w:rPr>
              <w:tab/>
            </w:r>
            <w:r>
              <w:rPr>
                <w:noProof/>
                <w:webHidden/>
              </w:rPr>
              <w:fldChar w:fldCharType="begin"/>
            </w:r>
            <w:r>
              <w:rPr>
                <w:noProof/>
                <w:webHidden/>
              </w:rPr>
              <w:instrText xml:space="preserve"> PAGEREF _Toc197615346 \h </w:instrText>
            </w:r>
            <w:r>
              <w:rPr>
                <w:noProof/>
                <w:webHidden/>
              </w:rPr>
            </w:r>
            <w:r>
              <w:rPr>
                <w:noProof/>
                <w:webHidden/>
              </w:rPr>
              <w:fldChar w:fldCharType="separate"/>
            </w:r>
            <w:r>
              <w:rPr>
                <w:noProof/>
                <w:webHidden/>
              </w:rPr>
              <w:t>7</w:t>
            </w:r>
            <w:r>
              <w:rPr>
                <w:noProof/>
                <w:webHidden/>
              </w:rPr>
              <w:fldChar w:fldCharType="end"/>
            </w:r>
          </w:hyperlink>
        </w:p>
        <w:p w14:paraId="3D56FCDB" w14:textId="3B705962" w:rsidR="00192442" w:rsidRDefault="00192442">
          <w:pPr>
            <w:pStyle w:val="TOC1"/>
            <w:rPr>
              <w:rFonts w:asciiTheme="minorHAnsi" w:eastAsiaTheme="minorEastAsia" w:hAnsiTheme="minorHAnsi" w:cstheme="minorBidi"/>
              <w:noProof/>
              <w:kern w:val="2"/>
              <w:szCs w:val="24"/>
              <w:lang w:eastAsia="en-GB"/>
              <w14:ligatures w14:val="standardContextual"/>
            </w:rPr>
          </w:pPr>
          <w:hyperlink w:anchor="_Toc197615347" w:history="1">
            <w:r w:rsidRPr="008D2975">
              <w:rPr>
                <w:rStyle w:val="Hyperlink"/>
                <w:noProof/>
              </w:rPr>
              <w:t>34.</w:t>
            </w:r>
            <w:r>
              <w:rPr>
                <w:rFonts w:asciiTheme="minorHAnsi" w:eastAsiaTheme="minorEastAsia" w:hAnsiTheme="minorHAnsi" w:cstheme="minorBidi"/>
                <w:noProof/>
                <w:kern w:val="2"/>
                <w:szCs w:val="24"/>
                <w:lang w:eastAsia="en-GB"/>
                <w14:ligatures w14:val="standardContextual"/>
              </w:rPr>
              <w:tab/>
            </w:r>
            <w:r w:rsidRPr="008D2975">
              <w:rPr>
                <w:rStyle w:val="Hyperlink"/>
                <w:noProof/>
              </w:rPr>
              <w:t>Prevention of Corruption - Rule 33</w:t>
            </w:r>
            <w:r>
              <w:rPr>
                <w:noProof/>
                <w:webHidden/>
              </w:rPr>
              <w:tab/>
            </w:r>
            <w:r>
              <w:rPr>
                <w:noProof/>
                <w:webHidden/>
              </w:rPr>
              <w:fldChar w:fldCharType="begin"/>
            </w:r>
            <w:r>
              <w:rPr>
                <w:noProof/>
                <w:webHidden/>
              </w:rPr>
              <w:instrText xml:space="preserve"> PAGEREF _Toc197615347 \h </w:instrText>
            </w:r>
            <w:r>
              <w:rPr>
                <w:noProof/>
                <w:webHidden/>
              </w:rPr>
            </w:r>
            <w:r>
              <w:rPr>
                <w:noProof/>
                <w:webHidden/>
              </w:rPr>
              <w:fldChar w:fldCharType="separate"/>
            </w:r>
            <w:r>
              <w:rPr>
                <w:noProof/>
                <w:webHidden/>
              </w:rPr>
              <w:t>7</w:t>
            </w:r>
            <w:r>
              <w:rPr>
                <w:noProof/>
                <w:webHidden/>
              </w:rPr>
              <w:fldChar w:fldCharType="end"/>
            </w:r>
          </w:hyperlink>
        </w:p>
        <w:p w14:paraId="4D2F42F0" w14:textId="02A94CCB" w:rsidR="00192442" w:rsidRDefault="00192442">
          <w:pPr>
            <w:pStyle w:val="TOC1"/>
            <w:rPr>
              <w:rFonts w:asciiTheme="minorHAnsi" w:eastAsiaTheme="minorEastAsia" w:hAnsiTheme="minorHAnsi" w:cstheme="minorBidi"/>
              <w:noProof/>
              <w:kern w:val="2"/>
              <w:szCs w:val="24"/>
              <w:lang w:eastAsia="en-GB"/>
              <w14:ligatures w14:val="standardContextual"/>
            </w:rPr>
          </w:pPr>
          <w:hyperlink w:anchor="_Toc197615348" w:history="1">
            <w:r w:rsidRPr="008D2975">
              <w:rPr>
                <w:rStyle w:val="Hyperlink"/>
                <w:noProof/>
              </w:rPr>
              <w:t>35.</w:t>
            </w:r>
            <w:r>
              <w:rPr>
                <w:rFonts w:asciiTheme="minorHAnsi" w:eastAsiaTheme="minorEastAsia" w:hAnsiTheme="minorHAnsi" w:cstheme="minorBidi"/>
                <w:noProof/>
                <w:kern w:val="2"/>
                <w:szCs w:val="24"/>
                <w:lang w:eastAsia="en-GB"/>
                <w14:ligatures w14:val="standardContextual"/>
              </w:rPr>
              <w:tab/>
            </w:r>
            <w:r w:rsidRPr="008D2975">
              <w:rPr>
                <w:rStyle w:val="Hyperlink"/>
                <w:noProof/>
              </w:rPr>
              <w:t>Grant Funding – Rule 34</w:t>
            </w:r>
            <w:r>
              <w:rPr>
                <w:noProof/>
                <w:webHidden/>
              </w:rPr>
              <w:tab/>
            </w:r>
            <w:r>
              <w:rPr>
                <w:noProof/>
                <w:webHidden/>
              </w:rPr>
              <w:fldChar w:fldCharType="begin"/>
            </w:r>
            <w:r>
              <w:rPr>
                <w:noProof/>
                <w:webHidden/>
              </w:rPr>
              <w:instrText xml:space="preserve"> PAGEREF _Toc197615348 \h </w:instrText>
            </w:r>
            <w:r>
              <w:rPr>
                <w:noProof/>
                <w:webHidden/>
              </w:rPr>
            </w:r>
            <w:r>
              <w:rPr>
                <w:noProof/>
                <w:webHidden/>
              </w:rPr>
              <w:fldChar w:fldCharType="separate"/>
            </w:r>
            <w:r>
              <w:rPr>
                <w:noProof/>
                <w:webHidden/>
              </w:rPr>
              <w:t>7</w:t>
            </w:r>
            <w:r>
              <w:rPr>
                <w:noProof/>
                <w:webHidden/>
              </w:rPr>
              <w:fldChar w:fldCharType="end"/>
            </w:r>
          </w:hyperlink>
        </w:p>
        <w:p w14:paraId="2927C1D0" w14:textId="29043085" w:rsidR="00192442" w:rsidRDefault="00192442">
          <w:pPr>
            <w:pStyle w:val="TOC1"/>
            <w:rPr>
              <w:rFonts w:asciiTheme="minorHAnsi" w:eastAsiaTheme="minorEastAsia" w:hAnsiTheme="minorHAnsi" w:cstheme="minorBidi"/>
              <w:noProof/>
              <w:kern w:val="2"/>
              <w:szCs w:val="24"/>
              <w:lang w:eastAsia="en-GB"/>
              <w14:ligatures w14:val="standardContextual"/>
            </w:rPr>
          </w:pPr>
          <w:hyperlink w:anchor="_Toc197615349" w:history="1">
            <w:r w:rsidRPr="008D2975">
              <w:rPr>
                <w:rStyle w:val="Hyperlink"/>
                <w:noProof/>
              </w:rPr>
              <w:t>36.</w:t>
            </w:r>
            <w:r>
              <w:rPr>
                <w:rFonts w:asciiTheme="minorHAnsi" w:eastAsiaTheme="minorEastAsia" w:hAnsiTheme="minorHAnsi" w:cstheme="minorBidi"/>
                <w:noProof/>
                <w:kern w:val="2"/>
                <w:szCs w:val="24"/>
                <w:lang w:eastAsia="en-GB"/>
                <w14:ligatures w14:val="standardContextual"/>
              </w:rPr>
              <w:tab/>
            </w:r>
            <w:r w:rsidRPr="008D2975">
              <w:rPr>
                <w:rStyle w:val="Hyperlink"/>
                <w:noProof/>
              </w:rPr>
              <w:t>IR35 – Rule 35</w:t>
            </w:r>
            <w:r>
              <w:rPr>
                <w:noProof/>
                <w:webHidden/>
              </w:rPr>
              <w:tab/>
            </w:r>
            <w:r>
              <w:rPr>
                <w:noProof/>
                <w:webHidden/>
              </w:rPr>
              <w:fldChar w:fldCharType="begin"/>
            </w:r>
            <w:r>
              <w:rPr>
                <w:noProof/>
                <w:webHidden/>
              </w:rPr>
              <w:instrText xml:space="preserve"> PAGEREF _Toc197615349 \h </w:instrText>
            </w:r>
            <w:r>
              <w:rPr>
                <w:noProof/>
                <w:webHidden/>
              </w:rPr>
            </w:r>
            <w:r>
              <w:rPr>
                <w:noProof/>
                <w:webHidden/>
              </w:rPr>
              <w:fldChar w:fldCharType="separate"/>
            </w:r>
            <w:r>
              <w:rPr>
                <w:noProof/>
                <w:webHidden/>
              </w:rPr>
              <w:t>7</w:t>
            </w:r>
            <w:r>
              <w:rPr>
                <w:noProof/>
                <w:webHidden/>
              </w:rPr>
              <w:fldChar w:fldCharType="end"/>
            </w:r>
          </w:hyperlink>
        </w:p>
        <w:p w14:paraId="75430D1E" w14:textId="370521E8" w:rsidR="00192442" w:rsidRDefault="00192442">
          <w:pPr>
            <w:pStyle w:val="TOC1"/>
            <w:rPr>
              <w:rFonts w:asciiTheme="minorHAnsi" w:eastAsiaTheme="minorEastAsia" w:hAnsiTheme="minorHAnsi" w:cstheme="minorBidi"/>
              <w:noProof/>
              <w:kern w:val="2"/>
              <w:szCs w:val="24"/>
              <w:lang w:eastAsia="en-GB"/>
              <w14:ligatures w14:val="standardContextual"/>
            </w:rPr>
          </w:pPr>
          <w:hyperlink w:anchor="_Toc197615350" w:history="1">
            <w:r w:rsidRPr="008D2975">
              <w:rPr>
                <w:rStyle w:val="Hyperlink"/>
                <w:noProof/>
              </w:rPr>
              <w:t>37.</w:t>
            </w:r>
            <w:r>
              <w:rPr>
                <w:rFonts w:asciiTheme="minorHAnsi" w:eastAsiaTheme="minorEastAsia" w:hAnsiTheme="minorHAnsi" w:cstheme="minorBidi"/>
                <w:noProof/>
                <w:kern w:val="2"/>
                <w:szCs w:val="24"/>
                <w:lang w:eastAsia="en-GB"/>
                <w14:ligatures w14:val="standardContextual"/>
              </w:rPr>
              <w:tab/>
            </w:r>
            <w:r w:rsidRPr="008D2975">
              <w:rPr>
                <w:rStyle w:val="Hyperlink"/>
                <w:noProof/>
              </w:rPr>
              <w:t>Consultation – Rule 36</w:t>
            </w:r>
            <w:r>
              <w:rPr>
                <w:noProof/>
                <w:webHidden/>
              </w:rPr>
              <w:tab/>
            </w:r>
            <w:r>
              <w:rPr>
                <w:noProof/>
                <w:webHidden/>
              </w:rPr>
              <w:fldChar w:fldCharType="begin"/>
            </w:r>
            <w:r>
              <w:rPr>
                <w:noProof/>
                <w:webHidden/>
              </w:rPr>
              <w:instrText xml:space="preserve"> PAGEREF _Toc197615350 \h </w:instrText>
            </w:r>
            <w:r>
              <w:rPr>
                <w:noProof/>
                <w:webHidden/>
              </w:rPr>
            </w:r>
            <w:r>
              <w:rPr>
                <w:noProof/>
                <w:webHidden/>
              </w:rPr>
              <w:fldChar w:fldCharType="separate"/>
            </w:r>
            <w:r>
              <w:rPr>
                <w:noProof/>
                <w:webHidden/>
              </w:rPr>
              <w:t>7</w:t>
            </w:r>
            <w:r>
              <w:rPr>
                <w:noProof/>
                <w:webHidden/>
              </w:rPr>
              <w:fldChar w:fldCharType="end"/>
            </w:r>
          </w:hyperlink>
        </w:p>
        <w:p w14:paraId="530652CB" w14:textId="285B3FD2" w:rsidR="00331A35" w:rsidRDefault="00331A35" w:rsidP="007B230A">
          <w:pPr>
            <w:jc w:val="both"/>
          </w:pPr>
          <w:r>
            <w:rPr>
              <w:b/>
              <w:bCs/>
            </w:rPr>
            <w:fldChar w:fldCharType="end"/>
          </w:r>
        </w:p>
      </w:sdtContent>
    </w:sdt>
    <w:p w14:paraId="51301E45" w14:textId="77777777" w:rsidR="00331A35" w:rsidRDefault="00331A35" w:rsidP="007B230A">
      <w:pPr>
        <w:jc w:val="both"/>
        <w:rPr>
          <w:b/>
          <w:i/>
          <w:iCs/>
          <w:szCs w:val="24"/>
        </w:rPr>
      </w:pPr>
    </w:p>
    <w:p w14:paraId="530D7066" w14:textId="2DA2A1B5" w:rsidR="00893F82" w:rsidRDefault="00893F82" w:rsidP="00E940F9">
      <w:pPr>
        <w:jc w:val="both"/>
        <w:rPr>
          <w:b/>
          <w:i/>
          <w:iCs/>
          <w:szCs w:val="24"/>
        </w:rPr>
      </w:pPr>
      <w:r>
        <w:rPr>
          <w:b/>
          <w:i/>
          <w:iCs/>
          <w:szCs w:val="24"/>
        </w:rPr>
        <w:br w:type="page"/>
      </w:r>
    </w:p>
    <w:p w14:paraId="37E8E0B0" w14:textId="77777777" w:rsidR="00D96C16" w:rsidRPr="00D96C16" w:rsidRDefault="00D96C16" w:rsidP="007B230A">
      <w:bookmarkStart w:id="0" w:name="_Toc170309164"/>
      <w:bookmarkEnd w:id="0"/>
    </w:p>
    <w:p w14:paraId="4BD734AF" w14:textId="66D502A0" w:rsidR="007B230A" w:rsidRPr="007B230A" w:rsidRDefault="00C97C54" w:rsidP="009A079B">
      <w:pPr>
        <w:pStyle w:val="Heading1"/>
      </w:pPr>
      <w:bookmarkStart w:id="1" w:name="_Toc167102216"/>
      <w:bookmarkStart w:id="2" w:name="_Toc197615314"/>
      <w:r w:rsidRPr="00C32E67">
        <w:t>Introduction</w:t>
      </w:r>
      <w:bookmarkEnd w:id="1"/>
      <w:bookmarkEnd w:id="2"/>
      <w:r w:rsidR="00192442">
        <w:t xml:space="preserve"> to this Document</w:t>
      </w:r>
    </w:p>
    <w:p w14:paraId="0857652C" w14:textId="6BC10476" w:rsidR="00C97C54" w:rsidRDefault="00E1448A" w:rsidP="00053D95">
      <w:pPr>
        <w:pStyle w:val="ListParagraph"/>
        <w:numPr>
          <w:ilvl w:val="1"/>
          <w:numId w:val="1"/>
        </w:numPr>
        <w:ind w:left="709" w:hanging="709"/>
        <w:jc w:val="both"/>
      </w:pPr>
      <w:r>
        <w:t xml:space="preserve">This </w:t>
      </w:r>
      <w:r w:rsidR="00C43BB3">
        <w:t xml:space="preserve">Schools </w:t>
      </w:r>
      <w:r w:rsidR="00C97C54" w:rsidRPr="0069571B">
        <w:t xml:space="preserve">Procurement </w:t>
      </w:r>
      <w:r w:rsidR="00C97C54">
        <w:t>Code (Code)</w:t>
      </w:r>
      <w:r w:rsidRPr="00E1448A">
        <w:t xml:space="preserve"> </w:t>
      </w:r>
      <w:r w:rsidR="00CC3561">
        <w:t xml:space="preserve">sets out where schools </w:t>
      </w:r>
      <w:r>
        <w:t>are exempt from certain Rules and Procurement Legislation</w:t>
      </w:r>
      <w:r w:rsidR="00C43BB3">
        <w:t xml:space="preserve">.  </w:t>
      </w:r>
      <w:r w:rsidR="00C97C54" w:rsidRPr="0069571B">
        <w:t xml:space="preserve">This </w:t>
      </w:r>
      <w:r w:rsidR="00C97C54" w:rsidRPr="006005F6">
        <w:t>document</w:t>
      </w:r>
      <w:r w:rsidR="00C97C54">
        <w:t xml:space="preserve">, together with the </w:t>
      </w:r>
      <w:r w:rsidR="00484575">
        <w:t xml:space="preserve">Procurement Code and </w:t>
      </w:r>
      <w:r w:rsidR="00C97C54">
        <w:t>Rules,</w:t>
      </w:r>
      <w:r w:rsidR="00C97C54" w:rsidRPr="0069571B">
        <w:t xml:space="preserve"> serves as a roadmap for </w:t>
      </w:r>
      <w:r w:rsidR="00C97C54">
        <w:t>Schools</w:t>
      </w:r>
      <w:r w:rsidR="00C97C54" w:rsidRPr="0069571B">
        <w:t xml:space="preserve">, outlining the </w:t>
      </w:r>
      <w:r w:rsidR="00C97C54">
        <w:t>key</w:t>
      </w:r>
      <w:r w:rsidR="00C97C54" w:rsidRPr="0069571B">
        <w:t xml:space="preserve"> principles, procedures, and best practices to uphold throughout </w:t>
      </w:r>
      <w:r w:rsidR="00C97C54">
        <w:t>all Contracting activity</w:t>
      </w:r>
      <w:r w:rsidR="007B230A">
        <w:t>.</w:t>
      </w:r>
      <w:r w:rsidR="003F47E8">
        <w:t xml:space="preserve"> </w:t>
      </w:r>
      <w:r w:rsidR="00192442">
        <w:t xml:space="preserve">Schools must follow the Councils Contract Procedure Rules (CPRs), Procurement Code and Schools Procurement Code for all Contracting Activity. </w:t>
      </w:r>
      <w:r w:rsidR="003F47E8">
        <w:t>Schools must also comply with the Schools Finance Manual.</w:t>
      </w:r>
    </w:p>
    <w:p w14:paraId="755EB643" w14:textId="77777777" w:rsidR="007B230A" w:rsidRDefault="007B230A" w:rsidP="00053D95">
      <w:pPr>
        <w:pStyle w:val="ListParagraph"/>
        <w:ind w:left="3240" w:firstLine="0"/>
        <w:jc w:val="both"/>
      </w:pPr>
    </w:p>
    <w:p w14:paraId="3921E72E" w14:textId="0A410A03" w:rsidR="00C97C54" w:rsidRDefault="00C97C54" w:rsidP="00053D95">
      <w:pPr>
        <w:pStyle w:val="ListParagraph"/>
        <w:numPr>
          <w:ilvl w:val="1"/>
          <w:numId w:val="1"/>
        </w:numPr>
        <w:ind w:left="709" w:hanging="709"/>
        <w:jc w:val="both"/>
      </w:pPr>
      <w:r>
        <w:t>Contracting Activity requires strategic decision-making, risk management, and fostering mutually beneficial relationships with vital suppliers. By adhering to this Code, the Council</w:t>
      </w:r>
      <w:r w:rsidR="009E7399">
        <w:t xml:space="preserve"> and School</w:t>
      </w:r>
      <w:r>
        <w:t xml:space="preserve"> can manage cost savings, mitigation of risks, maintain compliance with regulations, and ultimately contribute to the Council’s </w:t>
      </w:r>
      <w:r w:rsidR="009E7399">
        <w:t xml:space="preserve">and </w:t>
      </w:r>
      <w:r w:rsidR="001B3262">
        <w:t>school’s</w:t>
      </w:r>
      <w:r w:rsidR="009E7399">
        <w:t xml:space="preserve"> </w:t>
      </w:r>
      <w:r>
        <w:t>plan.</w:t>
      </w:r>
    </w:p>
    <w:p w14:paraId="22DF9B2B" w14:textId="77777777" w:rsidR="00053D95" w:rsidRDefault="00053D95" w:rsidP="00053D95">
      <w:pPr>
        <w:jc w:val="both"/>
      </w:pPr>
    </w:p>
    <w:p w14:paraId="1C57D023" w14:textId="4B609959" w:rsidR="00C97C54" w:rsidRDefault="00C54BAE" w:rsidP="007B230A">
      <w:pPr>
        <w:pStyle w:val="ListParagraph"/>
        <w:jc w:val="both"/>
      </w:pPr>
      <w:r>
        <w:t>1.3</w:t>
      </w:r>
      <w:r>
        <w:tab/>
      </w:r>
      <w:bookmarkStart w:id="3" w:name="_Hlk180678574"/>
      <w:r w:rsidR="00C97C54">
        <w:t xml:space="preserve">All Schools Officers at whatever role involved in Contracting </w:t>
      </w:r>
      <w:r w:rsidR="009E7399">
        <w:t>A</w:t>
      </w:r>
      <w:r w:rsidR="00C97C54">
        <w:t xml:space="preserve">ctivity must read this Code and the Rules to ensure there is a thorough understanding of how to carry out the steps within the Sourcing Cycle to ensure best practice and compliance to Council and UK Procurement Legislation. </w:t>
      </w:r>
      <w:bookmarkEnd w:id="3"/>
    </w:p>
    <w:p w14:paraId="07FA2153" w14:textId="482C0E37" w:rsidR="005D64C5" w:rsidRDefault="005D64C5" w:rsidP="007B230A">
      <w:pPr>
        <w:jc w:val="both"/>
      </w:pPr>
      <w:r>
        <w:t xml:space="preserve">Contracting Activity </w:t>
      </w:r>
      <w:r w:rsidR="00986B6E">
        <w:t>means:</w:t>
      </w:r>
    </w:p>
    <w:p w14:paraId="15AA888B" w14:textId="0E4260C7" w:rsidR="00986B6E" w:rsidRDefault="00986B6E" w:rsidP="007B230A">
      <w:pPr>
        <w:pStyle w:val="ListParagraph"/>
        <w:numPr>
          <w:ilvl w:val="0"/>
          <w:numId w:val="16"/>
        </w:numPr>
        <w:ind w:left="1281" w:hanging="357"/>
        <w:jc w:val="both"/>
      </w:pPr>
      <w:r>
        <w:t>Procurement</w:t>
      </w:r>
      <w:r w:rsidR="006449EA">
        <w:t xml:space="preserve"> (all elements of the process)</w:t>
      </w:r>
    </w:p>
    <w:p w14:paraId="3D66E4D8" w14:textId="439C86D7" w:rsidR="00986B6E" w:rsidRDefault="00986B6E" w:rsidP="007B230A">
      <w:pPr>
        <w:pStyle w:val="ListParagraph"/>
        <w:numPr>
          <w:ilvl w:val="0"/>
          <w:numId w:val="16"/>
        </w:numPr>
        <w:ind w:left="1281" w:hanging="357"/>
        <w:jc w:val="both"/>
      </w:pPr>
      <w:r>
        <w:t>Direct Awards</w:t>
      </w:r>
    </w:p>
    <w:p w14:paraId="7D986991" w14:textId="0319FEDA" w:rsidR="00986B6E" w:rsidRDefault="006449EA" w:rsidP="007B230A">
      <w:pPr>
        <w:pStyle w:val="ListParagraph"/>
        <w:numPr>
          <w:ilvl w:val="0"/>
          <w:numId w:val="16"/>
        </w:numPr>
        <w:ind w:left="1281" w:hanging="357"/>
        <w:jc w:val="both"/>
      </w:pPr>
      <w:r>
        <w:t>Waivers</w:t>
      </w:r>
    </w:p>
    <w:p w14:paraId="28F276A6" w14:textId="2ABD5B35" w:rsidR="00986B6E" w:rsidRDefault="00896E22" w:rsidP="007B230A">
      <w:pPr>
        <w:pStyle w:val="ListParagraph"/>
        <w:numPr>
          <w:ilvl w:val="0"/>
          <w:numId w:val="16"/>
        </w:numPr>
        <w:ind w:left="1281" w:hanging="357"/>
        <w:jc w:val="both"/>
      </w:pPr>
      <w:r>
        <w:t>Contract Modification (v</w:t>
      </w:r>
      <w:r w:rsidR="00986B6E">
        <w:t>ariation &amp; extensions</w:t>
      </w:r>
      <w:r>
        <w:t xml:space="preserve">) </w:t>
      </w:r>
    </w:p>
    <w:p w14:paraId="495ECF6D" w14:textId="1306153B" w:rsidR="00986B6E" w:rsidRDefault="00986B6E" w:rsidP="007B230A">
      <w:pPr>
        <w:pStyle w:val="ListParagraph"/>
        <w:numPr>
          <w:ilvl w:val="0"/>
          <w:numId w:val="16"/>
        </w:numPr>
        <w:ind w:left="1281" w:hanging="357"/>
        <w:jc w:val="both"/>
      </w:pPr>
      <w:r>
        <w:t>Terminations</w:t>
      </w:r>
    </w:p>
    <w:p w14:paraId="42215EEE" w14:textId="0346F70A" w:rsidR="00986B6E" w:rsidRDefault="00986B6E" w:rsidP="007B230A">
      <w:pPr>
        <w:pStyle w:val="ListParagraph"/>
        <w:numPr>
          <w:ilvl w:val="0"/>
          <w:numId w:val="16"/>
        </w:numPr>
        <w:ind w:left="1281" w:hanging="357"/>
        <w:jc w:val="both"/>
      </w:pPr>
      <w:r>
        <w:t>Novations</w:t>
      </w:r>
    </w:p>
    <w:p w14:paraId="448EE7F9" w14:textId="09CB381C" w:rsidR="006449EA" w:rsidRDefault="006449EA" w:rsidP="007B230A">
      <w:pPr>
        <w:pStyle w:val="ListParagraph"/>
        <w:numPr>
          <w:ilvl w:val="0"/>
          <w:numId w:val="16"/>
        </w:numPr>
        <w:jc w:val="both"/>
      </w:pPr>
      <w:r>
        <w:t>Contract Management</w:t>
      </w:r>
    </w:p>
    <w:p w14:paraId="6FD1A3E3" w14:textId="6EC92BE7" w:rsidR="008D770C" w:rsidRDefault="008D770C" w:rsidP="008D770C">
      <w:pPr>
        <w:pStyle w:val="ListParagraph"/>
        <w:numPr>
          <w:ilvl w:val="1"/>
          <w:numId w:val="20"/>
        </w:numPr>
        <w:autoSpaceDE w:val="0"/>
        <w:autoSpaceDN w:val="0"/>
        <w:adjustRightInd w:val="0"/>
        <w:spacing w:before="120" w:after="240"/>
        <w:ind w:left="709" w:hanging="709"/>
        <w:jc w:val="both"/>
      </w:pPr>
      <w:r>
        <w:t>Public Contracts (above threshold) must be carried out electronically as set out in the Procurement Legislation. This applies to schools and any consultant/third party used to manage or carry out procurement projects. The Councils Procurement System can be used on request. See Rule 31 on record keeping.</w:t>
      </w:r>
    </w:p>
    <w:p w14:paraId="703B47DC" w14:textId="60732812" w:rsidR="009A079B" w:rsidRDefault="009A079B" w:rsidP="008D770C">
      <w:pPr>
        <w:pStyle w:val="ListParagraph"/>
        <w:numPr>
          <w:ilvl w:val="1"/>
          <w:numId w:val="20"/>
        </w:numPr>
        <w:autoSpaceDE w:val="0"/>
        <w:autoSpaceDN w:val="0"/>
        <w:adjustRightInd w:val="0"/>
        <w:spacing w:before="120" w:after="240"/>
        <w:ind w:left="709" w:hanging="709"/>
        <w:jc w:val="both"/>
      </w:pPr>
      <w:r>
        <w:t>All documentation is available on the Schools Hub Procurement Pages.</w:t>
      </w:r>
    </w:p>
    <w:p w14:paraId="4AA8E73C" w14:textId="1C665902" w:rsidR="009D0533" w:rsidRDefault="009D0533" w:rsidP="009A079B">
      <w:pPr>
        <w:pStyle w:val="Heading1"/>
        <w:rPr>
          <w:rStyle w:val="Hyperlink"/>
          <w:color w:val="auto"/>
          <w:u w:val="none"/>
        </w:rPr>
      </w:pPr>
      <w:bookmarkStart w:id="4" w:name="_Toc167102223"/>
      <w:bookmarkStart w:id="5" w:name="_Toc197615315"/>
      <w:r>
        <w:rPr>
          <w:rStyle w:val="Hyperlink"/>
          <w:color w:val="auto"/>
          <w:u w:val="none"/>
        </w:rPr>
        <w:t>Introduction – Rule 1</w:t>
      </w:r>
      <w:bookmarkEnd w:id="5"/>
    </w:p>
    <w:p w14:paraId="5F9B9102" w14:textId="479308E6" w:rsidR="009D0533" w:rsidRDefault="009D0533" w:rsidP="00075B45">
      <w:pPr>
        <w:pStyle w:val="ListParagraph"/>
        <w:numPr>
          <w:ilvl w:val="1"/>
          <w:numId w:val="1"/>
        </w:numPr>
        <w:ind w:left="709" w:hanging="709"/>
        <w:jc w:val="both"/>
      </w:pPr>
      <w:r>
        <w:t xml:space="preserve">Schools must be aware of the obligations in the Procurement Act 2023. </w:t>
      </w:r>
      <w:r>
        <w:t xml:space="preserve">Schools are exempt from some of the Procurement Act 2023 </w:t>
      </w:r>
      <w:r w:rsidR="009A079B">
        <w:t>n</w:t>
      </w:r>
      <w:r>
        <w:t>otifications relating to below threshold and transparency.</w:t>
      </w:r>
      <w:r>
        <w:t xml:space="preserve"> Schools are exempt from using the Councils Procurement </w:t>
      </w:r>
      <w:r w:rsidR="009A079B">
        <w:t>System but</w:t>
      </w:r>
      <w:r>
        <w:t xml:space="preserve"> must comply with the legislation for above threshold in electronic tendering.</w:t>
      </w:r>
    </w:p>
    <w:p w14:paraId="2245A1E4" w14:textId="77777777" w:rsidR="009D0533" w:rsidRPr="009D0533" w:rsidRDefault="009D0533" w:rsidP="00075B45">
      <w:pPr>
        <w:ind w:left="709" w:hanging="709"/>
      </w:pPr>
    </w:p>
    <w:p w14:paraId="002A1135" w14:textId="00F581CC" w:rsidR="009D0533" w:rsidRDefault="009D0533" w:rsidP="009A079B">
      <w:pPr>
        <w:pStyle w:val="Heading1"/>
        <w:rPr>
          <w:rStyle w:val="Hyperlink"/>
          <w:color w:val="auto"/>
          <w:u w:val="none"/>
        </w:rPr>
      </w:pPr>
      <w:bookmarkStart w:id="6" w:name="_Toc197615316"/>
      <w:r>
        <w:rPr>
          <w:rStyle w:val="Hyperlink"/>
          <w:color w:val="auto"/>
          <w:u w:val="none"/>
        </w:rPr>
        <w:t>Purpose – Rule 2</w:t>
      </w:r>
      <w:bookmarkEnd w:id="6"/>
    </w:p>
    <w:p w14:paraId="3C62351B" w14:textId="03928DB0" w:rsidR="009D0533" w:rsidRDefault="009D0533" w:rsidP="00075B45">
      <w:pPr>
        <w:pStyle w:val="ListParagraph"/>
        <w:numPr>
          <w:ilvl w:val="1"/>
          <w:numId w:val="1"/>
        </w:numPr>
        <w:ind w:left="709" w:hanging="709"/>
        <w:jc w:val="both"/>
      </w:pPr>
      <w:r>
        <w:t>Schools must ensure that all contracts (other than those that are exempt from the CPRs</w:t>
      </w:r>
      <w:r w:rsidR="009A079B">
        <w:t>)</w:t>
      </w:r>
      <w:r>
        <w:t xml:space="preserve"> are compliant to the Rules.</w:t>
      </w:r>
    </w:p>
    <w:p w14:paraId="6A6B95E4" w14:textId="77777777" w:rsidR="009D0533" w:rsidRPr="009D0533" w:rsidRDefault="009D0533" w:rsidP="00075B45">
      <w:pPr>
        <w:ind w:left="709" w:hanging="709"/>
      </w:pPr>
    </w:p>
    <w:p w14:paraId="627D6E9F" w14:textId="43A07095" w:rsidR="009D0533" w:rsidRDefault="009D0533" w:rsidP="009A079B">
      <w:pPr>
        <w:pStyle w:val="Heading1"/>
        <w:rPr>
          <w:rStyle w:val="Hyperlink"/>
          <w:color w:val="auto"/>
          <w:u w:val="none"/>
        </w:rPr>
      </w:pPr>
      <w:bookmarkStart w:id="7" w:name="_Toc197615317"/>
      <w:r>
        <w:rPr>
          <w:rStyle w:val="Hyperlink"/>
          <w:color w:val="auto"/>
          <w:u w:val="none"/>
        </w:rPr>
        <w:lastRenderedPageBreak/>
        <w:t>Exempted Contracts – Rule 3</w:t>
      </w:r>
      <w:bookmarkEnd w:id="7"/>
    </w:p>
    <w:p w14:paraId="22836CBE" w14:textId="204A2AC8" w:rsidR="009D0533" w:rsidRDefault="009D0533" w:rsidP="00075B45">
      <w:pPr>
        <w:pStyle w:val="ListParagraph"/>
        <w:numPr>
          <w:ilvl w:val="1"/>
          <w:numId w:val="1"/>
        </w:numPr>
        <w:ind w:left="709" w:hanging="709"/>
        <w:jc w:val="both"/>
      </w:pPr>
      <w:r>
        <w:t xml:space="preserve">Schools </w:t>
      </w:r>
      <w:r>
        <w:t>must be aware of contracts that are exempt from CPRs.</w:t>
      </w:r>
    </w:p>
    <w:p w14:paraId="3BD2D6B3" w14:textId="77777777" w:rsidR="009D0533" w:rsidRPr="009D0533" w:rsidRDefault="009D0533" w:rsidP="00075B45">
      <w:pPr>
        <w:ind w:left="709" w:hanging="709"/>
      </w:pPr>
    </w:p>
    <w:p w14:paraId="4020C27B" w14:textId="45E50CCE" w:rsidR="009D0533" w:rsidRDefault="009D0533" w:rsidP="009A079B">
      <w:pPr>
        <w:pStyle w:val="Heading1"/>
        <w:rPr>
          <w:rStyle w:val="Hyperlink"/>
          <w:color w:val="auto"/>
          <w:u w:val="none"/>
        </w:rPr>
      </w:pPr>
      <w:bookmarkStart w:id="8" w:name="_Toc197615318"/>
      <w:r>
        <w:rPr>
          <w:rStyle w:val="Hyperlink"/>
          <w:color w:val="auto"/>
          <w:u w:val="none"/>
        </w:rPr>
        <w:t>Roles and Responsibilities – Rule 4</w:t>
      </w:r>
      <w:bookmarkEnd w:id="8"/>
    </w:p>
    <w:p w14:paraId="283D6A72" w14:textId="37C9D13F" w:rsidR="009D0533" w:rsidRDefault="009D0533" w:rsidP="00075B45">
      <w:pPr>
        <w:pStyle w:val="ListParagraph"/>
        <w:numPr>
          <w:ilvl w:val="1"/>
          <w:numId w:val="1"/>
        </w:numPr>
        <w:ind w:left="709" w:hanging="709"/>
        <w:jc w:val="both"/>
      </w:pPr>
      <w:r>
        <w:t xml:space="preserve">Schools </w:t>
      </w:r>
      <w:r>
        <w:t>must apply their own governance and management structure to the application of the CPRs. PAG, Contract Management Framework and the Annual Plan are not applicable to schools.  The schools may take advantage of using the Direct Award and Waiver form provided on the Schools Hub intranet site.</w:t>
      </w:r>
    </w:p>
    <w:p w14:paraId="614B7E69" w14:textId="77777777" w:rsidR="009D0533" w:rsidRPr="009D0533" w:rsidRDefault="009D0533" w:rsidP="00075B45">
      <w:pPr>
        <w:ind w:left="709" w:hanging="709"/>
      </w:pPr>
    </w:p>
    <w:p w14:paraId="79C6B15B" w14:textId="0CFEBF96" w:rsidR="009D0533" w:rsidRDefault="009D0533" w:rsidP="009A079B">
      <w:pPr>
        <w:pStyle w:val="Heading1"/>
        <w:rPr>
          <w:rStyle w:val="Hyperlink"/>
          <w:color w:val="auto"/>
          <w:u w:val="none"/>
        </w:rPr>
      </w:pPr>
      <w:bookmarkStart w:id="9" w:name="_Toc197615319"/>
      <w:r>
        <w:rPr>
          <w:rStyle w:val="Hyperlink"/>
          <w:color w:val="auto"/>
          <w:u w:val="none"/>
        </w:rPr>
        <w:t>Procurement Governance and Assurance – Rule 5</w:t>
      </w:r>
      <w:bookmarkEnd w:id="9"/>
    </w:p>
    <w:p w14:paraId="5F353676" w14:textId="6D8E9DD0" w:rsidR="009D0533" w:rsidRDefault="009D0533" w:rsidP="00075B45">
      <w:pPr>
        <w:pStyle w:val="ListParagraph"/>
        <w:numPr>
          <w:ilvl w:val="1"/>
          <w:numId w:val="1"/>
        </w:numPr>
        <w:ind w:left="709" w:hanging="709"/>
        <w:jc w:val="both"/>
      </w:pPr>
      <w:r>
        <w:t xml:space="preserve">Schools </w:t>
      </w:r>
      <w:r w:rsidR="00896D4D">
        <w:t xml:space="preserve">do not need to comply with Procurement Assurance </w:t>
      </w:r>
      <w:r w:rsidR="009A079B">
        <w:t>Requirements but</w:t>
      </w:r>
      <w:r w:rsidR="00896D4D">
        <w:t xml:space="preserve"> should have written processes for ensuring compliant and robust procurement processes are in place and followed.</w:t>
      </w:r>
    </w:p>
    <w:p w14:paraId="76275D5A" w14:textId="77777777" w:rsidR="009D0533" w:rsidRPr="009D0533" w:rsidRDefault="009D0533" w:rsidP="00075B45">
      <w:pPr>
        <w:ind w:left="709" w:hanging="709"/>
      </w:pPr>
    </w:p>
    <w:p w14:paraId="22BD259F" w14:textId="54BF40C8" w:rsidR="009D0533" w:rsidRDefault="009D0533" w:rsidP="009A079B">
      <w:pPr>
        <w:pStyle w:val="Heading1"/>
        <w:rPr>
          <w:rStyle w:val="Hyperlink"/>
          <w:color w:val="auto"/>
          <w:u w:val="none"/>
        </w:rPr>
      </w:pPr>
      <w:bookmarkStart w:id="10" w:name="_Toc197615320"/>
      <w:r>
        <w:rPr>
          <w:rStyle w:val="Hyperlink"/>
          <w:color w:val="auto"/>
          <w:u w:val="none"/>
        </w:rPr>
        <w:t>Annual Procurement Plan and Pipeline Notification and Planning – Rule 6</w:t>
      </w:r>
      <w:bookmarkEnd w:id="10"/>
    </w:p>
    <w:p w14:paraId="60C2F58C" w14:textId="3C7DF9B3" w:rsidR="009D0533" w:rsidRDefault="009D0533" w:rsidP="00075B45">
      <w:pPr>
        <w:pStyle w:val="ListParagraph"/>
        <w:numPr>
          <w:ilvl w:val="1"/>
          <w:numId w:val="1"/>
        </w:numPr>
        <w:ind w:left="709" w:hanging="709"/>
        <w:jc w:val="both"/>
      </w:pPr>
      <w:r>
        <w:t>Schools a</w:t>
      </w:r>
      <w:r w:rsidRPr="009D0533">
        <w:t xml:space="preserve"> </w:t>
      </w:r>
      <w:r>
        <w:t>Schools do not have to provide information to Procurement Services for the Annual Procurement plan.  However, for good practice schools should have their own procurement plan covering 12 – 18 months of work.</w:t>
      </w:r>
    </w:p>
    <w:p w14:paraId="3252F0E6" w14:textId="77777777" w:rsidR="009D0533" w:rsidRDefault="009D0533" w:rsidP="00075B45">
      <w:pPr>
        <w:pStyle w:val="ListParagraph"/>
        <w:ind w:left="709" w:hanging="709"/>
        <w:jc w:val="both"/>
      </w:pPr>
    </w:p>
    <w:p w14:paraId="32F076C1" w14:textId="77777777" w:rsidR="009D0533" w:rsidRDefault="009D0533" w:rsidP="00075B45">
      <w:pPr>
        <w:pStyle w:val="ListParagraph"/>
        <w:numPr>
          <w:ilvl w:val="1"/>
          <w:numId w:val="1"/>
        </w:numPr>
        <w:ind w:left="709" w:hanging="709"/>
        <w:jc w:val="both"/>
      </w:pPr>
      <w:r>
        <w:t>Any school likely to spend over £100 Million in the next financial year will be required to comply with the Pipeline Notification.</w:t>
      </w:r>
    </w:p>
    <w:p w14:paraId="53264E15" w14:textId="77777777" w:rsidR="009D0533" w:rsidRPr="009D0533" w:rsidRDefault="009D0533" w:rsidP="00075B45">
      <w:pPr>
        <w:ind w:left="709" w:hanging="709"/>
      </w:pPr>
    </w:p>
    <w:p w14:paraId="0C315F9E" w14:textId="49EA4080" w:rsidR="00896D4D" w:rsidRDefault="00896D4D" w:rsidP="009A079B">
      <w:pPr>
        <w:pStyle w:val="Heading1"/>
        <w:rPr>
          <w:rStyle w:val="Hyperlink"/>
          <w:color w:val="auto"/>
          <w:u w:val="none"/>
        </w:rPr>
      </w:pPr>
      <w:bookmarkStart w:id="11" w:name="_Toc197615321"/>
      <w:r>
        <w:rPr>
          <w:rStyle w:val="Hyperlink"/>
          <w:color w:val="auto"/>
          <w:u w:val="none"/>
        </w:rPr>
        <w:t>Risk Assessment – Rule 7</w:t>
      </w:r>
      <w:bookmarkEnd w:id="11"/>
    </w:p>
    <w:p w14:paraId="365FB717" w14:textId="5FFFB7D4" w:rsidR="00896D4D" w:rsidRDefault="00896D4D" w:rsidP="00075B45">
      <w:pPr>
        <w:pStyle w:val="ListParagraph"/>
        <w:numPr>
          <w:ilvl w:val="1"/>
          <w:numId w:val="1"/>
        </w:numPr>
        <w:ind w:left="709" w:hanging="709"/>
        <w:jc w:val="both"/>
      </w:pPr>
      <w:r>
        <w:t>It is good practice for schools to comply with this rule.</w:t>
      </w:r>
    </w:p>
    <w:p w14:paraId="10FFBF68" w14:textId="77777777" w:rsidR="00896D4D" w:rsidRDefault="00896D4D" w:rsidP="00075B45">
      <w:pPr>
        <w:pStyle w:val="ListParagraph"/>
        <w:ind w:left="709" w:hanging="709"/>
        <w:jc w:val="both"/>
      </w:pPr>
    </w:p>
    <w:p w14:paraId="27D71646" w14:textId="77777777" w:rsidR="00896D4D" w:rsidRDefault="00896D4D" w:rsidP="009A079B">
      <w:pPr>
        <w:pStyle w:val="Heading1"/>
      </w:pPr>
      <w:bookmarkStart w:id="12" w:name="_Toc167102229"/>
      <w:bookmarkStart w:id="13" w:name="_Toc197615322"/>
      <w:r w:rsidRPr="0011677C">
        <w:t>Insurance</w:t>
      </w:r>
      <w:bookmarkStart w:id="14" w:name="Insurance"/>
      <w:bookmarkEnd w:id="14"/>
      <w:r>
        <w:t xml:space="preserve"> – Rule </w:t>
      </w:r>
      <w:bookmarkEnd w:id="12"/>
      <w:r>
        <w:t>8</w:t>
      </w:r>
      <w:bookmarkEnd w:id="13"/>
    </w:p>
    <w:p w14:paraId="017E3461" w14:textId="7B7879F1" w:rsidR="00896D4D" w:rsidRDefault="00896D4D" w:rsidP="00075B45">
      <w:pPr>
        <w:pStyle w:val="ListParagraph"/>
        <w:numPr>
          <w:ilvl w:val="1"/>
          <w:numId w:val="1"/>
        </w:numPr>
        <w:ind w:left="709" w:hanging="709"/>
        <w:jc w:val="both"/>
      </w:pPr>
      <w:r>
        <w:t xml:space="preserve">Refer to the </w:t>
      </w:r>
      <w:r w:rsidRPr="009A079B">
        <w:t>Procurement Code</w:t>
      </w:r>
      <w:r>
        <w:t xml:space="preserve"> for further guidance.</w:t>
      </w:r>
    </w:p>
    <w:p w14:paraId="7713DE25" w14:textId="77777777" w:rsidR="009A079B" w:rsidRDefault="009A079B" w:rsidP="009A079B">
      <w:pPr>
        <w:pStyle w:val="ListParagraph"/>
        <w:ind w:left="709" w:firstLine="0"/>
        <w:jc w:val="both"/>
      </w:pPr>
    </w:p>
    <w:p w14:paraId="396C3789" w14:textId="40438633" w:rsidR="00896D4D" w:rsidRDefault="00896D4D" w:rsidP="009A079B">
      <w:pPr>
        <w:pStyle w:val="Heading1"/>
      </w:pPr>
      <w:bookmarkStart w:id="15" w:name="_Toc197615323"/>
      <w:r>
        <w:t xml:space="preserve">Direct Award </w:t>
      </w:r>
      <w:r>
        <w:t>in special Cases</w:t>
      </w:r>
      <w:r>
        <w:t xml:space="preserve"> – Rule 9</w:t>
      </w:r>
      <w:bookmarkEnd w:id="15"/>
    </w:p>
    <w:p w14:paraId="079B57AB" w14:textId="0E685DE7" w:rsidR="00896D4D" w:rsidRDefault="00896D4D" w:rsidP="00075B45">
      <w:pPr>
        <w:pStyle w:val="ListParagraph"/>
        <w:numPr>
          <w:ilvl w:val="1"/>
          <w:numId w:val="1"/>
        </w:numPr>
        <w:ind w:left="709" w:hanging="709"/>
        <w:jc w:val="both"/>
      </w:pPr>
      <w:r>
        <w:t xml:space="preserve">Schools can use the Direct Award and Waiver form. </w:t>
      </w:r>
      <w:r>
        <w:t>Direct Awards should be recorded via the Direct Award and Waiver form but are not bound by the PAG requirements.</w:t>
      </w:r>
      <w:r>
        <w:t xml:space="preserve"> Over threshold then notifications and standstill will apply.</w:t>
      </w:r>
    </w:p>
    <w:p w14:paraId="3B8FDE1E" w14:textId="77777777" w:rsidR="009A079B" w:rsidRDefault="009A079B" w:rsidP="009A079B">
      <w:pPr>
        <w:pStyle w:val="ListParagraph"/>
        <w:ind w:left="709" w:firstLine="0"/>
        <w:jc w:val="both"/>
      </w:pPr>
    </w:p>
    <w:p w14:paraId="79D5FD58" w14:textId="77777777" w:rsidR="00896D4D" w:rsidRDefault="00896D4D" w:rsidP="009A079B">
      <w:pPr>
        <w:pStyle w:val="Heading1"/>
      </w:pPr>
      <w:bookmarkStart w:id="16" w:name="_Toc197615324"/>
      <w:r>
        <w:t>Waivers – Rule 9</w:t>
      </w:r>
      <w:bookmarkEnd w:id="16"/>
    </w:p>
    <w:p w14:paraId="216503F8" w14:textId="155159B0" w:rsidR="00896D4D" w:rsidRDefault="00896D4D" w:rsidP="00075B45">
      <w:pPr>
        <w:pStyle w:val="ListParagraph"/>
        <w:numPr>
          <w:ilvl w:val="1"/>
          <w:numId w:val="1"/>
        </w:numPr>
        <w:ind w:left="709" w:hanging="709"/>
        <w:jc w:val="both"/>
      </w:pPr>
      <w:r>
        <w:t>Waivers should be recorded via the Direct Award and Waiver form</w:t>
      </w:r>
      <w:r w:rsidR="009A079B">
        <w:t xml:space="preserve"> (or schools own form)</w:t>
      </w:r>
      <w:r>
        <w:t>, but are not bound by the PAG requirements, and must be approved at set out in the school’s scheme of delegation.</w:t>
      </w:r>
    </w:p>
    <w:p w14:paraId="12DCB435" w14:textId="77777777" w:rsidR="009A079B" w:rsidRDefault="009A079B" w:rsidP="009A079B">
      <w:pPr>
        <w:pStyle w:val="ListParagraph"/>
        <w:ind w:left="709" w:firstLine="0"/>
        <w:jc w:val="both"/>
      </w:pPr>
    </w:p>
    <w:p w14:paraId="6CFD0EDB" w14:textId="77777777" w:rsidR="00896D4D" w:rsidRDefault="00896D4D" w:rsidP="009A079B">
      <w:pPr>
        <w:pStyle w:val="Heading1"/>
      </w:pPr>
      <w:bookmarkStart w:id="17" w:name="_Toc197615325"/>
      <w:r w:rsidRPr="00325728">
        <w:t>Financial</w:t>
      </w:r>
      <w:r>
        <w:t xml:space="preserve"> Due Diligence and</w:t>
      </w:r>
      <w:r w:rsidRPr="00325728">
        <w:t xml:space="preserve"> </w:t>
      </w:r>
      <w:hyperlink r:id="rId11" w:anchor="Security" w:history="1">
        <w:bookmarkStart w:id="18" w:name="_Toc432214"/>
        <w:r w:rsidRPr="00325728">
          <w:t>Security</w:t>
        </w:r>
        <w:bookmarkEnd w:id="18"/>
      </w:hyperlink>
      <w:r>
        <w:t>– Rule 12</w:t>
      </w:r>
      <w:bookmarkEnd w:id="17"/>
    </w:p>
    <w:p w14:paraId="432FE271" w14:textId="546F2A71" w:rsidR="00896D4D" w:rsidRDefault="00896D4D" w:rsidP="00075B45">
      <w:pPr>
        <w:pStyle w:val="ListParagraph"/>
        <w:numPr>
          <w:ilvl w:val="1"/>
          <w:numId w:val="1"/>
        </w:numPr>
        <w:ind w:left="709" w:hanging="709"/>
        <w:jc w:val="both"/>
      </w:pPr>
      <w:r>
        <w:t>Schools should carry out their own Financial Economic Standing tests, especially for Contracts over £100k</w:t>
      </w:r>
      <w:r>
        <w:t>, unless they have an agreement with Finance.</w:t>
      </w:r>
    </w:p>
    <w:p w14:paraId="78699407" w14:textId="77777777" w:rsidR="009A079B" w:rsidRDefault="009A079B" w:rsidP="009A079B">
      <w:pPr>
        <w:pStyle w:val="ListParagraph"/>
        <w:ind w:left="709" w:firstLine="0"/>
        <w:jc w:val="both"/>
      </w:pPr>
    </w:p>
    <w:p w14:paraId="0A30130F" w14:textId="77777777" w:rsidR="00896D4D" w:rsidRDefault="00896D4D" w:rsidP="009A079B">
      <w:pPr>
        <w:pStyle w:val="Heading1"/>
      </w:pPr>
      <w:bookmarkStart w:id="19" w:name="_Toc167102233"/>
      <w:bookmarkStart w:id="20" w:name="_Toc197615326"/>
      <w:r>
        <w:t>Business Continuity</w:t>
      </w:r>
      <w:bookmarkStart w:id="21" w:name="BusinessContinuity"/>
      <w:bookmarkEnd w:id="21"/>
      <w:r>
        <w:t xml:space="preserve"> – Rule 13</w:t>
      </w:r>
      <w:bookmarkEnd w:id="19"/>
      <w:bookmarkEnd w:id="20"/>
    </w:p>
    <w:p w14:paraId="7157EB3B" w14:textId="77777777" w:rsidR="00896D4D" w:rsidRDefault="00896D4D" w:rsidP="00075B45">
      <w:pPr>
        <w:pStyle w:val="ListParagraph"/>
        <w:numPr>
          <w:ilvl w:val="1"/>
          <w:numId w:val="1"/>
        </w:numPr>
        <w:ind w:left="709" w:hanging="709"/>
        <w:jc w:val="both"/>
      </w:pPr>
      <w:r>
        <w:t xml:space="preserve">Schools do not need to comply with having business continuity plans for Emergency Planning, however it is good practice to ensure that key supplier </w:t>
      </w:r>
      <w:r>
        <w:lastRenderedPageBreak/>
        <w:t>have business continuity plans in place and are tested.  School must follow any guidance from DofE for this area.</w:t>
      </w:r>
    </w:p>
    <w:p w14:paraId="4EA7CBE6" w14:textId="77777777" w:rsidR="009A079B" w:rsidRDefault="009A079B" w:rsidP="009A079B">
      <w:pPr>
        <w:pStyle w:val="ListParagraph"/>
        <w:ind w:left="709" w:firstLine="0"/>
        <w:jc w:val="both"/>
      </w:pPr>
    </w:p>
    <w:p w14:paraId="1A36152D" w14:textId="2579236E" w:rsidR="00896D4D" w:rsidRDefault="00896D4D" w:rsidP="009A079B">
      <w:pPr>
        <w:pStyle w:val="Heading1"/>
        <w:rPr>
          <w:rStyle w:val="Hyperlink"/>
          <w:color w:val="auto"/>
          <w:u w:val="none"/>
        </w:rPr>
      </w:pPr>
      <w:bookmarkStart w:id="22" w:name="_Toc197615327"/>
      <w:r>
        <w:rPr>
          <w:rStyle w:val="Hyperlink"/>
          <w:color w:val="auto"/>
          <w:u w:val="none"/>
        </w:rPr>
        <w:t>UK General Data Protection Regulations (UK GDPR) and Cyber Security – Rule 13</w:t>
      </w:r>
      <w:bookmarkEnd w:id="22"/>
    </w:p>
    <w:p w14:paraId="569CD4F3" w14:textId="0A8B2E67" w:rsidR="00896D4D" w:rsidRDefault="00896D4D" w:rsidP="00075B45">
      <w:pPr>
        <w:pStyle w:val="ListParagraph"/>
        <w:numPr>
          <w:ilvl w:val="1"/>
          <w:numId w:val="1"/>
        </w:numPr>
        <w:ind w:left="709" w:hanging="709"/>
        <w:jc w:val="both"/>
      </w:pPr>
      <w:r>
        <w:t xml:space="preserve">Schools </w:t>
      </w:r>
      <w:r>
        <w:t>ensure that any system or service sharing personal data is compliant.</w:t>
      </w:r>
    </w:p>
    <w:p w14:paraId="43ECAE1B" w14:textId="77777777" w:rsidR="00896D4D" w:rsidRPr="00896D4D" w:rsidRDefault="00896D4D" w:rsidP="00075B45">
      <w:pPr>
        <w:ind w:left="709" w:hanging="709"/>
      </w:pPr>
    </w:p>
    <w:p w14:paraId="3946D242" w14:textId="6A53EDBF" w:rsidR="00896D4D" w:rsidRDefault="00896D4D" w:rsidP="009A079B">
      <w:pPr>
        <w:pStyle w:val="Heading1"/>
        <w:rPr>
          <w:rStyle w:val="Hyperlink"/>
          <w:color w:val="auto"/>
          <w:u w:val="none"/>
        </w:rPr>
      </w:pPr>
      <w:bookmarkStart w:id="23" w:name="_Toc197615328"/>
      <w:r>
        <w:rPr>
          <w:rStyle w:val="Hyperlink"/>
          <w:color w:val="auto"/>
          <w:u w:val="none"/>
        </w:rPr>
        <w:t>Contracting Activity Governance – Approvals – Rule 14</w:t>
      </w:r>
      <w:bookmarkEnd w:id="23"/>
    </w:p>
    <w:p w14:paraId="7EEF585C" w14:textId="77777777" w:rsidR="00896D4D" w:rsidRDefault="00896D4D" w:rsidP="00075B45">
      <w:pPr>
        <w:pStyle w:val="ListParagraph"/>
        <w:numPr>
          <w:ilvl w:val="1"/>
          <w:numId w:val="1"/>
        </w:numPr>
        <w:ind w:left="709" w:hanging="709"/>
        <w:jc w:val="both"/>
      </w:pPr>
      <w:r>
        <w:t xml:space="preserve">Schools should </w:t>
      </w:r>
      <w:r>
        <w:t xml:space="preserve">follow governance as set out by the Council or Headteacher. </w:t>
      </w:r>
      <w:r>
        <w:t>Schools must follow their own governance for approvals for:</w:t>
      </w:r>
    </w:p>
    <w:p w14:paraId="3F1DB184" w14:textId="77777777" w:rsidR="00896D4D" w:rsidRDefault="00896D4D" w:rsidP="009A079B">
      <w:pPr>
        <w:pStyle w:val="ListParagraph"/>
        <w:numPr>
          <w:ilvl w:val="2"/>
          <w:numId w:val="1"/>
        </w:numPr>
        <w:ind w:left="1843" w:hanging="709"/>
        <w:jc w:val="both"/>
      </w:pPr>
      <w:r>
        <w:t>Authority to Procure</w:t>
      </w:r>
    </w:p>
    <w:p w14:paraId="712FE499" w14:textId="77777777" w:rsidR="00896D4D" w:rsidRDefault="00896D4D" w:rsidP="009A079B">
      <w:pPr>
        <w:pStyle w:val="ListParagraph"/>
        <w:numPr>
          <w:ilvl w:val="2"/>
          <w:numId w:val="1"/>
        </w:numPr>
        <w:ind w:left="1843" w:hanging="709"/>
        <w:jc w:val="both"/>
      </w:pPr>
      <w:r>
        <w:t>Authority for contract modification</w:t>
      </w:r>
    </w:p>
    <w:p w14:paraId="5561C501" w14:textId="77777777" w:rsidR="00896D4D" w:rsidRDefault="00896D4D" w:rsidP="009A079B">
      <w:pPr>
        <w:pStyle w:val="ListParagraph"/>
        <w:numPr>
          <w:ilvl w:val="2"/>
          <w:numId w:val="1"/>
        </w:numPr>
        <w:ind w:left="1843" w:hanging="709"/>
        <w:jc w:val="both"/>
      </w:pPr>
      <w:r>
        <w:t>Authority to award</w:t>
      </w:r>
    </w:p>
    <w:p w14:paraId="22CFA848" w14:textId="77777777" w:rsidR="00896D4D" w:rsidRDefault="00896D4D" w:rsidP="009A079B">
      <w:pPr>
        <w:pStyle w:val="ListParagraph"/>
        <w:numPr>
          <w:ilvl w:val="2"/>
          <w:numId w:val="1"/>
        </w:numPr>
        <w:ind w:left="1843" w:hanging="709"/>
        <w:jc w:val="both"/>
      </w:pPr>
      <w:r>
        <w:t>Authority to Novate</w:t>
      </w:r>
    </w:p>
    <w:p w14:paraId="1377A1BC" w14:textId="77777777" w:rsidR="00896D4D" w:rsidRDefault="00896D4D" w:rsidP="009A079B">
      <w:pPr>
        <w:pStyle w:val="ListParagraph"/>
        <w:numPr>
          <w:ilvl w:val="2"/>
          <w:numId w:val="1"/>
        </w:numPr>
        <w:ind w:left="1843" w:hanging="709"/>
        <w:jc w:val="both"/>
      </w:pPr>
      <w:r>
        <w:t>Authority to Terminate.</w:t>
      </w:r>
    </w:p>
    <w:p w14:paraId="56759E0E" w14:textId="77777777" w:rsidR="00896D4D" w:rsidRPr="00896D4D" w:rsidRDefault="00896D4D" w:rsidP="00075B45">
      <w:pPr>
        <w:ind w:left="709" w:hanging="709"/>
      </w:pPr>
    </w:p>
    <w:p w14:paraId="1251DD8D" w14:textId="31E3ED89" w:rsidR="00896D4D" w:rsidRDefault="00896D4D" w:rsidP="009A079B">
      <w:pPr>
        <w:pStyle w:val="Heading1"/>
        <w:rPr>
          <w:rStyle w:val="Hyperlink"/>
          <w:color w:val="auto"/>
          <w:u w:val="none"/>
        </w:rPr>
      </w:pPr>
      <w:bookmarkStart w:id="24" w:name="_Toc197615329"/>
      <w:r>
        <w:rPr>
          <w:rStyle w:val="Hyperlink"/>
          <w:color w:val="auto"/>
          <w:u w:val="none"/>
        </w:rPr>
        <w:t>Specialist Procurement – Rule 15</w:t>
      </w:r>
      <w:bookmarkEnd w:id="24"/>
    </w:p>
    <w:p w14:paraId="52257413" w14:textId="2E289FDF" w:rsidR="00896D4D" w:rsidRDefault="00896D4D" w:rsidP="00075B45">
      <w:pPr>
        <w:pStyle w:val="ListParagraph"/>
        <w:numPr>
          <w:ilvl w:val="1"/>
          <w:numId w:val="1"/>
        </w:numPr>
        <w:ind w:left="709" w:hanging="709"/>
        <w:jc w:val="both"/>
      </w:pPr>
      <w:r>
        <w:t>School</w:t>
      </w:r>
      <w:r>
        <w:t>s do not need to comply with this rule.</w:t>
      </w:r>
    </w:p>
    <w:p w14:paraId="2E7ED105" w14:textId="77777777" w:rsidR="00896D4D" w:rsidRPr="00896D4D" w:rsidRDefault="00896D4D" w:rsidP="00075B45">
      <w:pPr>
        <w:ind w:left="709" w:hanging="709"/>
      </w:pPr>
    </w:p>
    <w:p w14:paraId="308DBF38" w14:textId="045E771C" w:rsidR="00896D4D" w:rsidRDefault="00896D4D" w:rsidP="009A079B">
      <w:pPr>
        <w:pStyle w:val="Heading1"/>
        <w:rPr>
          <w:rStyle w:val="Hyperlink"/>
          <w:color w:val="auto"/>
          <w:u w:val="none"/>
        </w:rPr>
      </w:pPr>
      <w:bookmarkStart w:id="25" w:name="_Toc197615330"/>
      <w:r>
        <w:rPr>
          <w:rStyle w:val="Hyperlink"/>
          <w:color w:val="auto"/>
          <w:u w:val="none"/>
        </w:rPr>
        <w:t>Estimating the Value of a Contract – Rule 16</w:t>
      </w:r>
      <w:bookmarkEnd w:id="25"/>
    </w:p>
    <w:p w14:paraId="4E9428B6" w14:textId="78366509" w:rsidR="00C54E87" w:rsidRDefault="00C54E87" w:rsidP="00075B45">
      <w:pPr>
        <w:pStyle w:val="ListParagraph"/>
        <w:numPr>
          <w:ilvl w:val="1"/>
          <w:numId w:val="1"/>
        </w:numPr>
        <w:ind w:left="709" w:hanging="709"/>
        <w:jc w:val="both"/>
      </w:pPr>
      <w:r>
        <w:t xml:space="preserve">Schools must </w:t>
      </w:r>
      <w:r>
        <w:t>ensure that they are compliant to this rule and legislation.</w:t>
      </w:r>
    </w:p>
    <w:p w14:paraId="6A3D5935" w14:textId="77777777" w:rsidR="00C54E87" w:rsidRPr="00C54E87" w:rsidRDefault="00C54E87" w:rsidP="00075B45">
      <w:pPr>
        <w:ind w:left="709" w:hanging="709"/>
      </w:pPr>
    </w:p>
    <w:p w14:paraId="31B00BBB" w14:textId="77777777" w:rsidR="00C54E87" w:rsidRDefault="00C54E87" w:rsidP="009A079B">
      <w:pPr>
        <w:pStyle w:val="Heading1"/>
      </w:pPr>
      <w:bookmarkStart w:id="26" w:name="_Toc197615331"/>
      <w:r>
        <w:t>Framework Agreements and Dynamic Market Systems – Rule 17</w:t>
      </w:r>
      <w:bookmarkEnd w:id="26"/>
    </w:p>
    <w:p w14:paraId="49BECB4A" w14:textId="17F3EC42" w:rsidR="00C54E87" w:rsidRDefault="00C54E87" w:rsidP="00075B45">
      <w:pPr>
        <w:pStyle w:val="ListParagraph"/>
        <w:numPr>
          <w:ilvl w:val="1"/>
          <w:numId w:val="1"/>
        </w:numPr>
        <w:ind w:left="709" w:hanging="709"/>
        <w:jc w:val="both"/>
      </w:pPr>
      <w:r>
        <w:t xml:space="preserve">Schools are not bound by PAG when </w:t>
      </w:r>
      <w:r w:rsidR="009A079B">
        <w:t>directly awarding a contract from a framework or single supplier framework</w:t>
      </w:r>
      <w:r>
        <w:t>.</w:t>
      </w:r>
      <w:r>
        <w:t xml:space="preserve"> Schools must ensure that they are compliant to any notifications for above threshold procurements</w:t>
      </w:r>
      <w:r w:rsidR="009A079B">
        <w:t xml:space="preserve"> for PA23 frameworks</w:t>
      </w:r>
      <w:r>
        <w:t>.</w:t>
      </w:r>
    </w:p>
    <w:p w14:paraId="7B36D7A5" w14:textId="77777777" w:rsidR="009A079B" w:rsidRDefault="009A079B" w:rsidP="009A079B">
      <w:pPr>
        <w:pStyle w:val="ListParagraph"/>
        <w:ind w:left="709" w:firstLine="0"/>
        <w:jc w:val="both"/>
      </w:pPr>
    </w:p>
    <w:p w14:paraId="3881AEC0" w14:textId="6AC864C7" w:rsidR="00C54E87" w:rsidRDefault="00C54E87" w:rsidP="009A079B">
      <w:pPr>
        <w:pStyle w:val="Heading1"/>
        <w:rPr>
          <w:rStyle w:val="Hyperlink"/>
          <w:color w:val="auto"/>
          <w:u w:val="none"/>
        </w:rPr>
      </w:pPr>
      <w:bookmarkStart w:id="27" w:name="_Toc197615332"/>
      <w:r>
        <w:rPr>
          <w:rStyle w:val="Hyperlink"/>
          <w:color w:val="auto"/>
          <w:u w:val="none"/>
        </w:rPr>
        <w:t>Conflict of Interest – Rule 18</w:t>
      </w:r>
      <w:bookmarkEnd w:id="27"/>
    </w:p>
    <w:p w14:paraId="743995D2" w14:textId="4553812D" w:rsidR="00C54E87" w:rsidRDefault="00C54E87" w:rsidP="00075B45">
      <w:pPr>
        <w:pStyle w:val="ListParagraph"/>
        <w:numPr>
          <w:ilvl w:val="1"/>
          <w:numId w:val="1"/>
        </w:numPr>
        <w:ind w:left="709" w:hanging="709"/>
        <w:jc w:val="both"/>
      </w:pPr>
      <w:r>
        <w:t xml:space="preserve">Schools </w:t>
      </w:r>
      <w:r>
        <w:t xml:space="preserve">must complete conflict of interest assessments for above </w:t>
      </w:r>
      <w:r w:rsidR="009A079B">
        <w:t>threshold and</w:t>
      </w:r>
      <w:r>
        <w:t xml:space="preserve"> consider that it is good practice for below threshold.</w:t>
      </w:r>
    </w:p>
    <w:p w14:paraId="37CB817E" w14:textId="77777777" w:rsidR="00C54E87" w:rsidRPr="00C54E87" w:rsidRDefault="00C54E87" w:rsidP="00075B45">
      <w:pPr>
        <w:ind w:left="709" w:hanging="709"/>
      </w:pPr>
    </w:p>
    <w:p w14:paraId="2970DCBB" w14:textId="508BFFDE" w:rsidR="00C54E87" w:rsidRDefault="00C54E87" w:rsidP="009A079B">
      <w:pPr>
        <w:pStyle w:val="Heading1"/>
        <w:rPr>
          <w:rStyle w:val="Hyperlink"/>
          <w:color w:val="auto"/>
          <w:u w:val="none"/>
        </w:rPr>
      </w:pPr>
      <w:bookmarkStart w:id="28" w:name="_Toc197615333"/>
      <w:r>
        <w:rPr>
          <w:rStyle w:val="Hyperlink"/>
          <w:color w:val="auto"/>
          <w:u w:val="none"/>
        </w:rPr>
        <w:t>Sustainable and Ethical Procurement Policy – Rule 19</w:t>
      </w:r>
      <w:bookmarkEnd w:id="28"/>
    </w:p>
    <w:p w14:paraId="5C9ADADC" w14:textId="0F2EAC03" w:rsidR="009A079B" w:rsidRDefault="009A079B" w:rsidP="009A079B">
      <w:pPr>
        <w:pStyle w:val="ListParagraph"/>
        <w:numPr>
          <w:ilvl w:val="1"/>
          <w:numId w:val="1"/>
        </w:numPr>
        <w:ind w:left="709" w:hanging="709"/>
        <w:jc w:val="both"/>
      </w:pPr>
      <w:r>
        <w:t xml:space="preserve">Schools </w:t>
      </w:r>
      <w:r>
        <w:t>must consider the Social Value Act 2012 and the application of the Sustainable and Ethical Procurement Policy. This also ensure that schools meet their obligations to consider the National Procurement Policy Statement.</w:t>
      </w:r>
    </w:p>
    <w:p w14:paraId="2DB947A0" w14:textId="77777777" w:rsidR="00C54E87" w:rsidRPr="00C54E87" w:rsidRDefault="00C54E87" w:rsidP="00075B45">
      <w:pPr>
        <w:ind w:left="709" w:hanging="709"/>
      </w:pPr>
    </w:p>
    <w:p w14:paraId="656DFF1F" w14:textId="1DD9E826" w:rsidR="00C54E87" w:rsidRDefault="00C54E87" w:rsidP="009A079B">
      <w:pPr>
        <w:pStyle w:val="Heading1"/>
        <w:rPr>
          <w:rStyle w:val="Hyperlink"/>
          <w:color w:val="auto"/>
          <w:u w:val="none"/>
        </w:rPr>
      </w:pPr>
      <w:bookmarkStart w:id="29" w:name="_Toc197615334"/>
      <w:r>
        <w:rPr>
          <w:rStyle w:val="Hyperlink"/>
          <w:color w:val="auto"/>
          <w:u w:val="none"/>
        </w:rPr>
        <w:t>Procurement Thresholds – Rule 20</w:t>
      </w:r>
      <w:bookmarkEnd w:id="29"/>
    </w:p>
    <w:p w14:paraId="18063C3C" w14:textId="38FCFDA1" w:rsidR="009A079B" w:rsidRDefault="009A079B" w:rsidP="009A079B">
      <w:pPr>
        <w:pStyle w:val="ListParagraph"/>
        <w:numPr>
          <w:ilvl w:val="1"/>
          <w:numId w:val="1"/>
        </w:numPr>
        <w:ind w:left="709" w:hanging="709"/>
        <w:jc w:val="both"/>
      </w:pPr>
      <w:r>
        <w:t>Schools are bound by the number of quotations required as set out in the CPRs. They do not need to use the procurement system below threshold. Schools are exempt from notifications for below threshold.</w:t>
      </w:r>
    </w:p>
    <w:p w14:paraId="172B91EA" w14:textId="77777777" w:rsidR="00C54E87" w:rsidRPr="00C54E87" w:rsidRDefault="00C54E87" w:rsidP="00075B45">
      <w:pPr>
        <w:ind w:left="709" w:hanging="709"/>
      </w:pPr>
    </w:p>
    <w:p w14:paraId="49A78BAA" w14:textId="751F8040" w:rsidR="00C54E87" w:rsidRDefault="00C54E87" w:rsidP="009A079B">
      <w:pPr>
        <w:pStyle w:val="Heading1"/>
        <w:rPr>
          <w:rStyle w:val="Hyperlink"/>
          <w:color w:val="auto"/>
          <w:u w:val="none"/>
        </w:rPr>
      </w:pPr>
      <w:bookmarkStart w:id="30" w:name="_Toc197615335"/>
      <w:r>
        <w:rPr>
          <w:rStyle w:val="Hyperlink"/>
          <w:color w:val="auto"/>
          <w:u w:val="none"/>
        </w:rPr>
        <w:t>Provider Selection Regime – Rule 21</w:t>
      </w:r>
      <w:bookmarkEnd w:id="30"/>
    </w:p>
    <w:p w14:paraId="26DA5A42" w14:textId="69E9F157" w:rsidR="00C54E87" w:rsidRDefault="00C54E87" w:rsidP="00075B45">
      <w:pPr>
        <w:pStyle w:val="ListParagraph"/>
        <w:numPr>
          <w:ilvl w:val="1"/>
          <w:numId w:val="1"/>
        </w:numPr>
        <w:ind w:left="709" w:hanging="709"/>
        <w:jc w:val="both"/>
      </w:pPr>
      <w:r>
        <w:t xml:space="preserve">It is unlikely that any school will procure health care services. If they do then they must use the Provider Selection Regime – see PSR </w:t>
      </w:r>
      <w:r w:rsidR="009A079B">
        <w:t>Code and</w:t>
      </w:r>
      <w:r>
        <w:t xml:space="preserve"> contact </w:t>
      </w:r>
      <w:hyperlink r:id="rId12" w:history="1">
        <w:r w:rsidRPr="00A7398C">
          <w:rPr>
            <w:rStyle w:val="Hyperlink"/>
          </w:rPr>
          <w:t>procurement.support@enfield.gov.uk</w:t>
        </w:r>
      </w:hyperlink>
      <w:r>
        <w:t>.</w:t>
      </w:r>
    </w:p>
    <w:p w14:paraId="7E9FE88F" w14:textId="77777777" w:rsidR="00C54E87" w:rsidRDefault="00C54E87" w:rsidP="00075B45">
      <w:pPr>
        <w:pStyle w:val="ListParagraph"/>
        <w:ind w:left="709" w:hanging="709"/>
        <w:jc w:val="both"/>
      </w:pPr>
    </w:p>
    <w:p w14:paraId="033517B0" w14:textId="77777777" w:rsidR="00C54E87" w:rsidRPr="00C54E87" w:rsidRDefault="00C54E87" w:rsidP="00075B45">
      <w:pPr>
        <w:ind w:left="709" w:hanging="709"/>
      </w:pPr>
    </w:p>
    <w:p w14:paraId="5AD3E40D" w14:textId="171D25A2" w:rsidR="00C54E87" w:rsidRDefault="00C54E87" w:rsidP="009A079B">
      <w:pPr>
        <w:pStyle w:val="Heading1"/>
        <w:rPr>
          <w:rStyle w:val="Hyperlink"/>
          <w:color w:val="auto"/>
          <w:u w:val="none"/>
        </w:rPr>
      </w:pPr>
      <w:bookmarkStart w:id="31" w:name="_Toc197615336"/>
      <w:r>
        <w:rPr>
          <w:rStyle w:val="Hyperlink"/>
          <w:color w:val="auto"/>
          <w:u w:val="none"/>
        </w:rPr>
        <w:t>Light Touch Services – Rule 22</w:t>
      </w:r>
      <w:bookmarkEnd w:id="31"/>
    </w:p>
    <w:p w14:paraId="16BFBB10" w14:textId="39F597C0" w:rsidR="00C54E87" w:rsidRDefault="00C54E87" w:rsidP="00075B45">
      <w:pPr>
        <w:pStyle w:val="ListParagraph"/>
        <w:numPr>
          <w:ilvl w:val="1"/>
          <w:numId w:val="1"/>
        </w:numPr>
        <w:ind w:left="709" w:hanging="709"/>
        <w:jc w:val="both"/>
      </w:pPr>
      <w:r>
        <w:t>This code sets out what the difference are for contracts that come under the light touch process</w:t>
      </w:r>
      <w:r>
        <w:t>.</w:t>
      </w:r>
    </w:p>
    <w:p w14:paraId="39EB6648" w14:textId="77777777" w:rsidR="00C54E87" w:rsidRPr="00C54E87" w:rsidRDefault="00C54E87" w:rsidP="00075B45">
      <w:pPr>
        <w:ind w:left="709" w:hanging="709"/>
      </w:pPr>
    </w:p>
    <w:p w14:paraId="4A75644C" w14:textId="1A120CC4" w:rsidR="00CC0B6B" w:rsidRPr="003D5DD1" w:rsidRDefault="00C54E87" w:rsidP="009A079B">
      <w:pPr>
        <w:pStyle w:val="Heading1"/>
        <w:rPr>
          <w:rStyle w:val="Hyperlink"/>
          <w:color w:val="auto"/>
          <w:u w:val="none"/>
        </w:rPr>
      </w:pPr>
      <w:bookmarkStart w:id="32" w:name="_Toc197615337"/>
      <w:r>
        <w:rPr>
          <w:rStyle w:val="Hyperlink"/>
          <w:color w:val="auto"/>
          <w:u w:val="none"/>
        </w:rPr>
        <w:t>Notifications</w:t>
      </w:r>
      <w:r w:rsidR="00CC0B6B" w:rsidRPr="003D5DD1">
        <w:rPr>
          <w:rStyle w:val="Hyperlink"/>
          <w:color w:val="auto"/>
          <w:u w:val="none"/>
        </w:rPr>
        <w:t xml:space="preserve"> – Rule </w:t>
      </w:r>
      <w:bookmarkEnd w:id="4"/>
      <w:r>
        <w:rPr>
          <w:rStyle w:val="Hyperlink"/>
          <w:color w:val="auto"/>
          <w:u w:val="none"/>
        </w:rPr>
        <w:t>23</w:t>
      </w:r>
      <w:bookmarkEnd w:id="32"/>
    </w:p>
    <w:p w14:paraId="5464082B" w14:textId="3AAD49AB" w:rsidR="00D665B3" w:rsidRDefault="00C2156E" w:rsidP="00075B45">
      <w:pPr>
        <w:pStyle w:val="ListParagraph"/>
        <w:numPr>
          <w:ilvl w:val="1"/>
          <w:numId w:val="1"/>
        </w:numPr>
        <w:ind w:left="709" w:hanging="709"/>
        <w:jc w:val="both"/>
      </w:pPr>
      <w:r>
        <w:t>Schools</w:t>
      </w:r>
      <w:r w:rsidR="00CC0B6B">
        <w:t xml:space="preserve"> are exempt from some of the </w:t>
      </w:r>
      <w:r w:rsidR="00A230CD">
        <w:t xml:space="preserve">Procurement Act 2023 </w:t>
      </w:r>
      <w:r w:rsidR="001B3262">
        <w:t>N</w:t>
      </w:r>
      <w:r w:rsidR="00A230CD">
        <w:t>otifications</w:t>
      </w:r>
      <w:r w:rsidR="00AE7554">
        <w:t xml:space="preserve"> relating to below threshold</w:t>
      </w:r>
      <w:r w:rsidR="008633B8">
        <w:t xml:space="preserve"> and </w:t>
      </w:r>
      <w:r w:rsidR="00C03CA3">
        <w:t>transparency</w:t>
      </w:r>
      <w:r w:rsidR="00A230CD">
        <w:t>.</w:t>
      </w:r>
      <w:r w:rsidR="59EAC907">
        <w:t xml:space="preserve"> Notifications are needed for all Public Contracts (above threshold), see </w:t>
      </w:r>
      <w:r w:rsidR="59EAC907" w:rsidRPr="009A079B">
        <w:t>Procurement Code for</w:t>
      </w:r>
      <w:r w:rsidR="59EAC907">
        <w:t xml:space="preserve"> full details.</w:t>
      </w:r>
    </w:p>
    <w:p w14:paraId="02545CA3" w14:textId="77777777" w:rsidR="00053D95" w:rsidRDefault="00053D95" w:rsidP="00075B45">
      <w:pPr>
        <w:pStyle w:val="ListParagraph"/>
        <w:ind w:left="709" w:hanging="709"/>
        <w:jc w:val="both"/>
      </w:pPr>
    </w:p>
    <w:p w14:paraId="68BAF02A" w14:textId="3E335777" w:rsidR="00CC0B6B" w:rsidRDefault="00192442" w:rsidP="00075B45">
      <w:pPr>
        <w:pStyle w:val="ListParagraph"/>
        <w:numPr>
          <w:ilvl w:val="1"/>
          <w:numId w:val="1"/>
        </w:numPr>
        <w:ind w:left="709" w:hanging="709"/>
        <w:jc w:val="both"/>
      </w:pPr>
      <w:r>
        <w:t>Schools must e</w:t>
      </w:r>
      <w:r w:rsidR="59EAC907">
        <w:t>nsure that any 3</w:t>
      </w:r>
      <w:r w:rsidR="59EAC907" w:rsidRPr="00C2156E">
        <w:rPr>
          <w:vertAlign w:val="superscript"/>
        </w:rPr>
        <w:t>rd</w:t>
      </w:r>
      <w:r w:rsidR="59EAC907">
        <w:t xml:space="preserve"> party responsible for procurement deliver</w:t>
      </w:r>
      <w:r w:rsidR="1DA8D4F1">
        <w:t>y is compliant to these Notifications and provides evidence</w:t>
      </w:r>
      <w:r w:rsidR="00D665B3">
        <w:t>/copies of the Notifications</w:t>
      </w:r>
      <w:r w:rsidR="00252A4B">
        <w:t xml:space="preserve"> to the school</w:t>
      </w:r>
      <w:r w:rsidR="00D665B3">
        <w:t xml:space="preserve"> </w:t>
      </w:r>
      <w:r w:rsidR="1DA8D4F1">
        <w:t>as these may be needed for the management of the contract at a later date</w:t>
      </w:r>
      <w:r w:rsidR="00474951">
        <w:t>, including extensions and variations.</w:t>
      </w:r>
      <w:r>
        <w:t xml:space="preserve">  The school must ensure it is registered on the government Central Digital Platform for notifications. Contact </w:t>
      </w:r>
      <w:hyperlink r:id="rId13" w:history="1">
        <w:r w:rsidRPr="00A7398C">
          <w:rPr>
            <w:rStyle w:val="Hyperlink"/>
          </w:rPr>
          <w:t>procurement.support@enfield.gov.uk</w:t>
        </w:r>
      </w:hyperlink>
    </w:p>
    <w:p w14:paraId="52AF365D" w14:textId="77777777" w:rsidR="00192442" w:rsidRDefault="00192442" w:rsidP="00192442">
      <w:pPr>
        <w:pStyle w:val="ListParagraph"/>
      </w:pPr>
    </w:p>
    <w:p w14:paraId="6E5836A1" w14:textId="663ED5AC" w:rsidR="00973CCE" w:rsidRDefault="00973CCE" w:rsidP="00075B45">
      <w:pPr>
        <w:pStyle w:val="ListParagraph"/>
        <w:numPr>
          <w:ilvl w:val="1"/>
          <w:numId w:val="1"/>
        </w:numPr>
        <w:ind w:left="709" w:hanging="709"/>
        <w:jc w:val="both"/>
      </w:pPr>
      <w:bookmarkStart w:id="33" w:name="_Toc167102252"/>
      <w:r>
        <w:t>Notifications.</w:t>
      </w:r>
    </w:p>
    <w:tbl>
      <w:tblPr>
        <w:tblStyle w:val="TableGrid"/>
        <w:tblW w:w="9072" w:type="dxa"/>
        <w:tblInd w:w="137" w:type="dxa"/>
        <w:tblLook w:val="04A0" w:firstRow="1" w:lastRow="0" w:firstColumn="1" w:lastColumn="0" w:noHBand="0" w:noVBand="1"/>
      </w:tblPr>
      <w:tblGrid>
        <w:gridCol w:w="4536"/>
        <w:gridCol w:w="4536"/>
      </w:tblGrid>
      <w:tr w:rsidR="00FB119D" w:rsidRPr="004147A3" w14:paraId="7CA661E5" w14:textId="77777777" w:rsidTr="004147A3">
        <w:tc>
          <w:tcPr>
            <w:tcW w:w="4536" w:type="dxa"/>
          </w:tcPr>
          <w:p w14:paraId="2347516A" w14:textId="67BF5207" w:rsidR="00FB119D" w:rsidRPr="004147A3" w:rsidRDefault="00FB119D" w:rsidP="00075B45">
            <w:pPr>
              <w:autoSpaceDE w:val="0"/>
              <w:autoSpaceDN w:val="0"/>
              <w:adjustRightInd w:val="0"/>
              <w:ind w:left="709" w:hanging="709"/>
              <w:jc w:val="both"/>
              <w:rPr>
                <w:b/>
                <w:bCs/>
                <w:color w:val="000000" w:themeColor="text1"/>
              </w:rPr>
            </w:pPr>
            <w:r w:rsidRPr="004147A3">
              <w:rPr>
                <w:b/>
                <w:bCs/>
                <w:color w:val="000000" w:themeColor="text1"/>
              </w:rPr>
              <w:t>Noti</w:t>
            </w:r>
            <w:r w:rsidR="006C25FC" w:rsidRPr="004147A3">
              <w:rPr>
                <w:b/>
                <w:bCs/>
                <w:color w:val="000000" w:themeColor="text1"/>
              </w:rPr>
              <w:t>fication</w:t>
            </w:r>
          </w:p>
        </w:tc>
        <w:tc>
          <w:tcPr>
            <w:tcW w:w="4536" w:type="dxa"/>
          </w:tcPr>
          <w:p w14:paraId="020B0AB5" w14:textId="5BF11A30" w:rsidR="00FB119D" w:rsidRPr="004147A3" w:rsidRDefault="004147A3" w:rsidP="00075B45">
            <w:pPr>
              <w:autoSpaceDE w:val="0"/>
              <w:autoSpaceDN w:val="0"/>
              <w:adjustRightInd w:val="0"/>
              <w:ind w:left="709" w:hanging="709"/>
              <w:jc w:val="both"/>
              <w:rPr>
                <w:b/>
                <w:bCs/>
                <w:color w:val="000000" w:themeColor="text1"/>
              </w:rPr>
            </w:pPr>
            <w:r w:rsidRPr="004147A3">
              <w:rPr>
                <w:b/>
                <w:bCs/>
                <w:color w:val="000000" w:themeColor="text1"/>
              </w:rPr>
              <w:t>Compliance</w:t>
            </w:r>
          </w:p>
        </w:tc>
      </w:tr>
      <w:tr w:rsidR="00973CCE" w:rsidRPr="001E534A" w14:paraId="4FBED24B" w14:textId="77777777" w:rsidTr="004147A3">
        <w:tc>
          <w:tcPr>
            <w:tcW w:w="4536" w:type="dxa"/>
          </w:tcPr>
          <w:p w14:paraId="676B7506" w14:textId="77777777" w:rsidR="00973CCE" w:rsidRPr="001E534A" w:rsidRDefault="00973CCE" w:rsidP="00075B45">
            <w:pPr>
              <w:autoSpaceDE w:val="0"/>
              <w:autoSpaceDN w:val="0"/>
              <w:adjustRightInd w:val="0"/>
              <w:ind w:left="709" w:hanging="709"/>
              <w:jc w:val="both"/>
            </w:pPr>
            <w:r w:rsidRPr="001E534A">
              <w:rPr>
                <w:color w:val="000000" w:themeColor="text1"/>
              </w:rPr>
              <w:t>A planed procurement Notice</w:t>
            </w:r>
          </w:p>
        </w:tc>
        <w:tc>
          <w:tcPr>
            <w:tcW w:w="4536" w:type="dxa"/>
          </w:tcPr>
          <w:p w14:paraId="2075515B" w14:textId="309E78CC" w:rsidR="00973CCE" w:rsidRPr="001E534A" w:rsidRDefault="00DF6138" w:rsidP="00075B45">
            <w:pPr>
              <w:autoSpaceDE w:val="0"/>
              <w:autoSpaceDN w:val="0"/>
              <w:adjustRightInd w:val="0"/>
              <w:ind w:left="709" w:hanging="709"/>
              <w:jc w:val="both"/>
              <w:rPr>
                <w:color w:val="000000" w:themeColor="text1"/>
              </w:rPr>
            </w:pPr>
            <w:r>
              <w:rPr>
                <w:color w:val="000000" w:themeColor="text1"/>
              </w:rPr>
              <w:t>Must comply for above threshold</w:t>
            </w:r>
          </w:p>
        </w:tc>
      </w:tr>
      <w:tr w:rsidR="00973CCE" w:rsidRPr="001E534A" w14:paraId="0D4ECD39" w14:textId="77777777" w:rsidTr="004147A3">
        <w:tc>
          <w:tcPr>
            <w:tcW w:w="4536" w:type="dxa"/>
          </w:tcPr>
          <w:p w14:paraId="669676F6" w14:textId="77777777" w:rsidR="00973CCE" w:rsidRPr="001E534A" w:rsidRDefault="00973CCE" w:rsidP="00075B45">
            <w:pPr>
              <w:autoSpaceDE w:val="0"/>
              <w:autoSpaceDN w:val="0"/>
              <w:adjustRightInd w:val="0"/>
              <w:ind w:left="709" w:hanging="709"/>
              <w:jc w:val="both"/>
            </w:pPr>
            <w:r w:rsidRPr="001E534A">
              <w:rPr>
                <w:color w:val="000000" w:themeColor="text1"/>
              </w:rPr>
              <w:t>Pipeline Notice</w:t>
            </w:r>
          </w:p>
        </w:tc>
        <w:tc>
          <w:tcPr>
            <w:tcW w:w="4536" w:type="dxa"/>
          </w:tcPr>
          <w:p w14:paraId="355EB4E7" w14:textId="77777777" w:rsidR="00973CCE" w:rsidRPr="001E534A" w:rsidRDefault="00973CCE" w:rsidP="00075B45">
            <w:pPr>
              <w:autoSpaceDE w:val="0"/>
              <w:autoSpaceDN w:val="0"/>
              <w:adjustRightInd w:val="0"/>
              <w:ind w:left="709" w:hanging="709"/>
              <w:jc w:val="both"/>
              <w:rPr>
                <w:color w:val="000000" w:themeColor="text1"/>
              </w:rPr>
            </w:pPr>
            <w:r>
              <w:rPr>
                <w:color w:val="000000" w:themeColor="text1"/>
              </w:rPr>
              <w:t>This notification applies in relation to any school that considers that, in the coming financial year, it will pay more than £100 million under relevant Contracts.</w:t>
            </w:r>
          </w:p>
        </w:tc>
      </w:tr>
      <w:tr w:rsidR="00DF6138" w:rsidRPr="001E534A" w14:paraId="6D784F0D" w14:textId="77777777" w:rsidTr="004147A3">
        <w:tc>
          <w:tcPr>
            <w:tcW w:w="4536" w:type="dxa"/>
          </w:tcPr>
          <w:p w14:paraId="2323CC3D" w14:textId="77777777" w:rsidR="00DF6138" w:rsidRPr="001E534A" w:rsidRDefault="00DF6138" w:rsidP="00075B45">
            <w:pPr>
              <w:autoSpaceDE w:val="0"/>
              <w:autoSpaceDN w:val="0"/>
              <w:adjustRightInd w:val="0"/>
              <w:ind w:left="709" w:hanging="709"/>
              <w:jc w:val="both"/>
            </w:pPr>
            <w:r w:rsidRPr="001E534A">
              <w:rPr>
                <w:color w:val="000000" w:themeColor="text1"/>
              </w:rPr>
              <w:t>Preliminary Market Engagement Notice</w:t>
            </w:r>
          </w:p>
        </w:tc>
        <w:tc>
          <w:tcPr>
            <w:tcW w:w="4536" w:type="dxa"/>
          </w:tcPr>
          <w:p w14:paraId="2F5F1368" w14:textId="63C108A9" w:rsidR="00DF6138" w:rsidRPr="001E534A" w:rsidRDefault="00DF6138" w:rsidP="00075B45">
            <w:pPr>
              <w:autoSpaceDE w:val="0"/>
              <w:autoSpaceDN w:val="0"/>
              <w:adjustRightInd w:val="0"/>
              <w:ind w:left="709" w:hanging="709"/>
              <w:jc w:val="both"/>
              <w:rPr>
                <w:color w:val="000000" w:themeColor="text1"/>
              </w:rPr>
            </w:pPr>
            <w:r w:rsidRPr="00C97745">
              <w:rPr>
                <w:color w:val="000000" w:themeColor="text1"/>
              </w:rPr>
              <w:t>Must comply for above threshold</w:t>
            </w:r>
          </w:p>
        </w:tc>
      </w:tr>
      <w:tr w:rsidR="00DF6138" w:rsidRPr="001E534A" w14:paraId="0927601A" w14:textId="77777777" w:rsidTr="004147A3">
        <w:tc>
          <w:tcPr>
            <w:tcW w:w="4536" w:type="dxa"/>
          </w:tcPr>
          <w:p w14:paraId="3B7D907F" w14:textId="77777777" w:rsidR="00DF6138" w:rsidRPr="001E534A" w:rsidRDefault="00DF6138" w:rsidP="00075B45">
            <w:pPr>
              <w:autoSpaceDE w:val="0"/>
              <w:autoSpaceDN w:val="0"/>
              <w:adjustRightInd w:val="0"/>
              <w:ind w:left="709" w:hanging="709"/>
              <w:jc w:val="both"/>
            </w:pPr>
            <w:r w:rsidRPr="001E534A">
              <w:rPr>
                <w:color w:val="000000" w:themeColor="text1"/>
              </w:rPr>
              <w:t>A Tender Notice</w:t>
            </w:r>
          </w:p>
        </w:tc>
        <w:tc>
          <w:tcPr>
            <w:tcW w:w="4536" w:type="dxa"/>
          </w:tcPr>
          <w:p w14:paraId="5B1D2BD5" w14:textId="7F7639CC" w:rsidR="00DF6138" w:rsidRPr="001E534A" w:rsidRDefault="00DF6138" w:rsidP="00075B45">
            <w:pPr>
              <w:autoSpaceDE w:val="0"/>
              <w:autoSpaceDN w:val="0"/>
              <w:adjustRightInd w:val="0"/>
              <w:ind w:left="709" w:hanging="709"/>
              <w:jc w:val="both"/>
              <w:rPr>
                <w:color w:val="000000" w:themeColor="text1"/>
              </w:rPr>
            </w:pPr>
            <w:r w:rsidRPr="00C97745">
              <w:rPr>
                <w:color w:val="000000" w:themeColor="text1"/>
              </w:rPr>
              <w:t>Must comply for above threshold</w:t>
            </w:r>
          </w:p>
        </w:tc>
      </w:tr>
      <w:tr w:rsidR="00DF6138" w:rsidRPr="001E534A" w14:paraId="4F00B58B" w14:textId="77777777" w:rsidTr="004147A3">
        <w:tc>
          <w:tcPr>
            <w:tcW w:w="4536" w:type="dxa"/>
          </w:tcPr>
          <w:p w14:paraId="469E7121" w14:textId="77777777" w:rsidR="00DF6138" w:rsidRPr="001E534A" w:rsidRDefault="00DF6138" w:rsidP="00075B45">
            <w:pPr>
              <w:autoSpaceDE w:val="0"/>
              <w:autoSpaceDN w:val="0"/>
              <w:adjustRightInd w:val="0"/>
              <w:ind w:left="709" w:hanging="709"/>
              <w:jc w:val="both"/>
            </w:pPr>
            <w:r w:rsidRPr="001E534A">
              <w:rPr>
                <w:color w:val="000000" w:themeColor="text1"/>
              </w:rPr>
              <w:t>Dynamic Market Notice</w:t>
            </w:r>
          </w:p>
        </w:tc>
        <w:tc>
          <w:tcPr>
            <w:tcW w:w="4536" w:type="dxa"/>
          </w:tcPr>
          <w:p w14:paraId="4766D4DB" w14:textId="7594315B" w:rsidR="00DF6138" w:rsidRPr="001E534A" w:rsidRDefault="00DF6138" w:rsidP="00075B45">
            <w:pPr>
              <w:autoSpaceDE w:val="0"/>
              <w:autoSpaceDN w:val="0"/>
              <w:adjustRightInd w:val="0"/>
              <w:ind w:left="709" w:hanging="709"/>
              <w:jc w:val="both"/>
              <w:rPr>
                <w:color w:val="000000" w:themeColor="text1"/>
              </w:rPr>
            </w:pPr>
            <w:r w:rsidRPr="00C97745">
              <w:rPr>
                <w:color w:val="000000" w:themeColor="text1"/>
              </w:rPr>
              <w:t>Must comply for above threshold</w:t>
            </w:r>
          </w:p>
        </w:tc>
      </w:tr>
      <w:tr w:rsidR="00DF6138" w:rsidRPr="001E534A" w14:paraId="51BC0938" w14:textId="77777777" w:rsidTr="004147A3">
        <w:tc>
          <w:tcPr>
            <w:tcW w:w="4536" w:type="dxa"/>
          </w:tcPr>
          <w:p w14:paraId="6941631F" w14:textId="77777777" w:rsidR="00DF6138" w:rsidRPr="001E534A" w:rsidRDefault="00DF6138" w:rsidP="00075B45">
            <w:pPr>
              <w:autoSpaceDE w:val="0"/>
              <w:autoSpaceDN w:val="0"/>
              <w:adjustRightInd w:val="0"/>
              <w:ind w:left="709" w:hanging="709"/>
              <w:jc w:val="both"/>
            </w:pPr>
            <w:r w:rsidRPr="001E534A">
              <w:rPr>
                <w:color w:val="000000" w:themeColor="text1"/>
              </w:rPr>
              <w:t>Contract Award Notice</w:t>
            </w:r>
          </w:p>
        </w:tc>
        <w:tc>
          <w:tcPr>
            <w:tcW w:w="4536" w:type="dxa"/>
          </w:tcPr>
          <w:p w14:paraId="0C847CFF" w14:textId="51365FC7" w:rsidR="00DF6138" w:rsidRPr="001E534A" w:rsidRDefault="00DF6138" w:rsidP="00075B45">
            <w:pPr>
              <w:autoSpaceDE w:val="0"/>
              <w:autoSpaceDN w:val="0"/>
              <w:adjustRightInd w:val="0"/>
              <w:ind w:left="709" w:hanging="709"/>
              <w:jc w:val="both"/>
              <w:rPr>
                <w:color w:val="000000" w:themeColor="text1"/>
              </w:rPr>
            </w:pPr>
            <w:r w:rsidRPr="00C97745">
              <w:rPr>
                <w:color w:val="000000" w:themeColor="text1"/>
              </w:rPr>
              <w:t>Must comply for above threshold</w:t>
            </w:r>
          </w:p>
        </w:tc>
      </w:tr>
      <w:tr w:rsidR="00DF6138" w:rsidRPr="001E534A" w14:paraId="460A95DF" w14:textId="77777777" w:rsidTr="004147A3">
        <w:tc>
          <w:tcPr>
            <w:tcW w:w="4536" w:type="dxa"/>
          </w:tcPr>
          <w:p w14:paraId="35BA873B" w14:textId="77777777" w:rsidR="00DF6138" w:rsidRPr="001E534A" w:rsidRDefault="00DF6138" w:rsidP="00075B45">
            <w:pPr>
              <w:autoSpaceDE w:val="0"/>
              <w:autoSpaceDN w:val="0"/>
              <w:adjustRightInd w:val="0"/>
              <w:ind w:left="709" w:hanging="709"/>
              <w:jc w:val="both"/>
            </w:pPr>
            <w:r w:rsidRPr="001E534A">
              <w:rPr>
                <w:color w:val="000000" w:themeColor="text1"/>
              </w:rPr>
              <w:t>Procurement Termination Notice</w:t>
            </w:r>
          </w:p>
        </w:tc>
        <w:tc>
          <w:tcPr>
            <w:tcW w:w="4536" w:type="dxa"/>
          </w:tcPr>
          <w:p w14:paraId="4FE2ACC3" w14:textId="2E05288A" w:rsidR="00DF6138" w:rsidRPr="001E534A" w:rsidRDefault="00DF6138" w:rsidP="00075B45">
            <w:pPr>
              <w:autoSpaceDE w:val="0"/>
              <w:autoSpaceDN w:val="0"/>
              <w:adjustRightInd w:val="0"/>
              <w:ind w:left="709" w:hanging="709"/>
              <w:jc w:val="both"/>
              <w:rPr>
                <w:color w:val="000000" w:themeColor="text1"/>
              </w:rPr>
            </w:pPr>
            <w:r w:rsidRPr="00C97745">
              <w:rPr>
                <w:color w:val="000000" w:themeColor="text1"/>
              </w:rPr>
              <w:t>Must comply for above threshold</w:t>
            </w:r>
          </w:p>
        </w:tc>
      </w:tr>
      <w:tr w:rsidR="00DF6138" w:rsidRPr="001E534A" w14:paraId="71E20876" w14:textId="77777777" w:rsidTr="004147A3">
        <w:tc>
          <w:tcPr>
            <w:tcW w:w="4536" w:type="dxa"/>
          </w:tcPr>
          <w:p w14:paraId="1F246E78" w14:textId="77777777" w:rsidR="00DF6138" w:rsidRPr="001E534A" w:rsidRDefault="00DF6138" w:rsidP="00075B45">
            <w:pPr>
              <w:autoSpaceDE w:val="0"/>
              <w:autoSpaceDN w:val="0"/>
              <w:adjustRightInd w:val="0"/>
              <w:ind w:left="709" w:hanging="709"/>
              <w:jc w:val="both"/>
            </w:pPr>
            <w:r w:rsidRPr="001E534A">
              <w:rPr>
                <w:color w:val="000000" w:themeColor="text1"/>
              </w:rPr>
              <w:t>Contract Details Notice</w:t>
            </w:r>
          </w:p>
        </w:tc>
        <w:tc>
          <w:tcPr>
            <w:tcW w:w="4536" w:type="dxa"/>
          </w:tcPr>
          <w:p w14:paraId="53AEBEFE" w14:textId="16F10868" w:rsidR="00DF6138" w:rsidRPr="001E534A" w:rsidRDefault="00DF6138" w:rsidP="00075B45">
            <w:pPr>
              <w:autoSpaceDE w:val="0"/>
              <w:autoSpaceDN w:val="0"/>
              <w:adjustRightInd w:val="0"/>
              <w:ind w:left="709" w:hanging="709"/>
              <w:jc w:val="both"/>
              <w:rPr>
                <w:color w:val="000000" w:themeColor="text1"/>
              </w:rPr>
            </w:pPr>
            <w:r w:rsidRPr="00C97745">
              <w:rPr>
                <w:color w:val="000000" w:themeColor="text1"/>
              </w:rPr>
              <w:t>Must comply for above threshold</w:t>
            </w:r>
          </w:p>
        </w:tc>
      </w:tr>
      <w:tr w:rsidR="00DF6138" w:rsidRPr="001E534A" w14:paraId="06F945F1" w14:textId="77777777" w:rsidTr="004147A3">
        <w:tc>
          <w:tcPr>
            <w:tcW w:w="4536" w:type="dxa"/>
          </w:tcPr>
          <w:p w14:paraId="076B902E" w14:textId="77777777" w:rsidR="00DF6138" w:rsidRPr="001E534A" w:rsidRDefault="00DF6138" w:rsidP="00075B45">
            <w:pPr>
              <w:autoSpaceDE w:val="0"/>
              <w:autoSpaceDN w:val="0"/>
              <w:adjustRightInd w:val="0"/>
              <w:ind w:left="709" w:hanging="709"/>
              <w:jc w:val="both"/>
            </w:pPr>
            <w:r w:rsidRPr="001E534A">
              <w:rPr>
                <w:color w:val="000000" w:themeColor="text1"/>
              </w:rPr>
              <w:t>Contract Change Notice</w:t>
            </w:r>
          </w:p>
        </w:tc>
        <w:tc>
          <w:tcPr>
            <w:tcW w:w="4536" w:type="dxa"/>
          </w:tcPr>
          <w:p w14:paraId="4486EB2F" w14:textId="0D04858F" w:rsidR="00DF6138" w:rsidRPr="001E534A" w:rsidRDefault="00DF6138" w:rsidP="00075B45">
            <w:pPr>
              <w:autoSpaceDE w:val="0"/>
              <w:autoSpaceDN w:val="0"/>
              <w:adjustRightInd w:val="0"/>
              <w:ind w:left="709" w:hanging="709"/>
              <w:jc w:val="both"/>
              <w:rPr>
                <w:color w:val="000000" w:themeColor="text1"/>
              </w:rPr>
            </w:pPr>
            <w:r w:rsidRPr="00C97745">
              <w:rPr>
                <w:color w:val="000000" w:themeColor="text1"/>
              </w:rPr>
              <w:t xml:space="preserve">Must comply </w:t>
            </w:r>
            <w:r w:rsidR="00835B9F">
              <w:rPr>
                <w:color w:val="000000" w:themeColor="text1"/>
              </w:rPr>
              <w:t>where required.</w:t>
            </w:r>
          </w:p>
        </w:tc>
      </w:tr>
      <w:tr w:rsidR="00973CCE" w:rsidRPr="001E534A" w14:paraId="0104D4A6" w14:textId="77777777" w:rsidTr="004147A3">
        <w:tc>
          <w:tcPr>
            <w:tcW w:w="4536" w:type="dxa"/>
          </w:tcPr>
          <w:p w14:paraId="23FCD631" w14:textId="77777777" w:rsidR="00973CCE" w:rsidRPr="001E534A" w:rsidRDefault="00973CCE" w:rsidP="00075B45">
            <w:pPr>
              <w:autoSpaceDE w:val="0"/>
              <w:autoSpaceDN w:val="0"/>
              <w:adjustRightInd w:val="0"/>
              <w:ind w:left="709" w:hanging="709"/>
              <w:jc w:val="both"/>
            </w:pPr>
            <w:r w:rsidRPr="001E534A">
              <w:rPr>
                <w:color w:val="000000" w:themeColor="text1"/>
              </w:rPr>
              <w:t>Payments Compliance Notice</w:t>
            </w:r>
          </w:p>
        </w:tc>
        <w:tc>
          <w:tcPr>
            <w:tcW w:w="4536" w:type="dxa"/>
          </w:tcPr>
          <w:p w14:paraId="35B1CCA6" w14:textId="77777777" w:rsidR="00973CCE" w:rsidRPr="001E534A" w:rsidRDefault="00973CCE" w:rsidP="00075B45">
            <w:pPr>
              <w:autoSpaceDE w:val="0"/>
              <w:autoSpaceDN w:val="0"/>
              <w:adjustRightInd w:val="0"/>
              <w:ind w:left="709" w:hanging="709"/>
              <w:jc w:val="both"/>
              <w:rPr>
                <w:color w:val="000000" w:themeColor="text1"/>
              </w:rPr>
            </w:pPr>
            <w:r>
              <w:rPr>
                <w:color w:val="000000" w:themeColor="text1"/>
              </w:rPr>
              <w:t>Exempt</w:t>
            </w:r>
          </w:p>
        </w:tc>
      </w:tr>
      <w:tr w:rsidR="00DF6138" w:rsidRPr="001E534A" w14:paraId="1D1B19C5" w14:textId="77777777" w:rsidTr="004147A3">
        <w:tc>
          <w:tcPr>
            <w:tcW w:w="4536" w:type="dxa"/>
          </w:tcPr>
          <w:p w14:paraId="315E9DB3" w14:textId="77777777" w:rsidR="00DF6138" w:rsidRPr="001E534A" w:rsidRDefault="00DF6138" w:rsidP="00075B45">
            <w:pPr>
              <w:autoSpaceDE w:val="0"/>
              <w:autoSpaceDN w:val="0"/>
              <w:adjustRightInd w:val="0"/>
              <w:ind w:left="709" w:hanging="709"/>
              <w:jc w:val="both"/>
            </w:pPr>
            <w:r w:rsidRPr="001E534A">
              <w:rPr>
                <w:color w:val="000000" w:themeColor="text1"/>
              </w:rPr>
              <w:t>Contract Performance Notice</w:t>
            </w:r>
          </w:p>
        </w:tc>
        <w:tc>
          <w:tcPr>
            <w:tcW w:w="4536" w:type="dxa"/>
          </w:tcPr>
          <w:p w14:paraId="15D4BB1E" w14:textId="27908F21" w:rsidR="00DF6138" w:rsidRPr="001E534A" w:rsidRDefault="00DF6138" w:rsidP="00075B45">
            <w:pPr>
              <w:autoSpaceDE w:val="0"/>
              <w:autoSpaceDN w:val="0"/>
              <w:adjustRightInd w:val="0"/>
              <w:ind w:left="709" w:hanging="709"/>
              <w:jc w:val="both"/>
              <w:rPr>
                <w:color w:val="000000" w:themeColor="text1"/>
              </w:rPr>
            </w:pPr>
            <w:r w:rsidRPr="00045BFC">
              <w:rPr>
                <w:color w:val="000000" w:themeColor="text1"/>
              </w:rPr>
              <w:t>Must comply for</w:t>
            </w:r>
            <w:r>
              <w:rPr>
                <w:color w:val="000000" w:themeColor="text1"/>
              </w:rPr>
              <w:t xml:space="preserve"> contracts let under PA23 &amp; above £5m.</w:t>
            </w:r>
          </w:p>
        </w:tc>
      </w:tr>
      <w:tr w:rsidR="00DF6138" w:rsidRPr="001E534A" w14:paraId="0D2615E6" w14:textId="77777777" w:rsidTr="004147A3">
        <w:tc>
          <w:tcPr>
            <w:tcW w:w="4536" w:type="dxa"/>
          </w:tcPr>
          <w:p w14:paraId="33B86EAD" w14:textId="77777777" w:rsidR="00DF6138" w:rsidRPr="001E534A" w:rsidRDefault="00DF6138" w:rsidP="00075B45">
            <w:pPr>
              <w:autoSpaceDE w:val="0"/>
              <w:autoSpaceDN w:val="0"/>
              <w:adjustRightInd w:val="0"/>
              <w:ind w:left="709" w:hanging="709"/>
              <w:jc w:val="both"/>
            </w:pPr>
            <w:r w:rsidRPr="001E534A">
              <w:rPr>
                <w:color w:val="000000" w:themeColor="text1"/>
              </w:rPr>
              <w:t>Contract Termination Notice</w:t>
            </w:r>
          </w:p>
        </w:tc>
        <w:tc>
          <w:tcPr>
            <w:tcW w:w="4536" w:type="dxa"/>
          </w:tcPr>
          <w:p w14:paraId="457AA559" w14:textId="33A31DCA" w:rsidR="00DF6138" w:rsidRPr="001E534A" w:rsidRDefault="00DF6138" w:rsidP="00075B45">
            <w:pPr>
              <w:autoSpaceDE w:val="0"/>
              <w:autoSpaceDN w:val="0"/>
              <w:adjustRightInd w:val="0"/>
              <w:ind w:left="709" w:hanging="709"/>
              <w:jc w:val="both"/>
              <w:rPr>
                <w:color w:val="000000" w:themeColor="text1"/>
              </w:rPr>
            </w:pPr>
            <w:r w:rsidRPr="00045BFC">
              <w:rPr>
                <w:color w:val="000000" w:themeColor="text1"/>
              </w:rPr>
              <w:t>Must comply for above threshold</w:t>
            </w:r>
          </w:p>
        </w:tc>
      </w:tr>
      <w:tr w:rsidR="00DF6138" w:rsidRPr="001E534A" w14:paraId="4FE04FE3" w14:textId="77777777" w:rsidTr="004147A3">
        <w:tc>
          <w:tcPr>
            <w:tcW w:w="4536" w:type="dxa"/>
          </w:tcPr>
          <w:p w14:paraId="0922CA29" w14:textId="77777777" w:rsidR="00DF6138" w:rsidRPr="001E534A" w:rsidRDefault="00DF6138" w:rsidP="00075B45">
            <w:pPr>
              <w:autoSpaceDE w:val="0"/>
              <w:autoSpaceDN w:val="0"/>
              <w:adjustRightInd w:val="0"/>
              <w:ind w:left="709" w:hanging="709"/>
              <w:jc w:val="both"/>
            </w:pPr>
            <w:r w:rsidRPr="001E534A">
              <w:rPr>
                <w:color w:val="000000" w:themeColor="text1"/>
              </w:rPr>
              <w:t>Transparency Notice (Direct Award)</w:t>
            </w:r>
          </w:p>
        </w:tc>
        <w:tc>
          <w:tcPr>
            <w:tcW w:w="4536" w:type="dxa"/>
          </w:tcPr>
          <w:p w14:paraId="16B243D0" w14:textId="13BA9112" w:rsidR="00DF6138" w:rsidRPr="001E534A" w:rsidRDefault="00DF6138" w:rsidP="00075B45">
            <w:pPr>
              <w:autoSpaceDE w:val="0"/>
              <w:autoSpaceDN w:val="0"/>
              <w:adjustRightInd w:val="0"/>
              <w:ind w:left="709" w:hanging="709"/>
              <w:jc w:val="both"/>
              <w:rPr>
                <w:color w:val="000000" w:themeColor="text1"/>
              </w:rPr>
            </w:pPr>
            <w:r w:rsidRPr="00045BFC">
              <w:rPr>
                <w:color w:val="000000" w:themeColor="text1"/>
              </w:rPr>
              <w:t>Must comply for above threshold</w:t>
            </w:r>
          </w:p>
        </w:tc>
      </w:tr>
      <w:tr w:rsidR="00973CCE" w:rsidRPr="001E534A" w14:paraId="03DC2FE7" w14:textId="77777777" w:rsidTr="004147A3">
        <w:tc>
          <w:tcPr>
            <w:tcW w:w="4536" w:type="dxa"/>
          </w:tcPr>
          <w:p w14:paraId="6B65A2AF" w14:textId="77777777" w:rsidR="00973CCE" w:rsidRPr="001E534A" w:rsidRDefault="00973CCE" w:rsidP="00075B45">
            <w:pPr>
              <w:autoSpaceDE w:val="0"/>
              <w:autoSpaceDN w:val="0"/>
              <w:adjustRightInd w:val="0"/>
              <w:ind w:left="709" w:hanging="709"/>
            </w:pPr>
            <w:r w:rsidRPr="001E534A">
              <w:rPr>
                <w:color w:val="000000" w:themeColor="text1"/>
              </w:rPr>
              <w:t>Below threshold procurement tender notice</w:t>
            </w:r>
          </w:p>
        </w:tc>
        <w:tc>
          <w:tcPr>
            <w:tcW w:w="4536" w:type="dxa"/>
          </w:tcPr>
          <w:p w14:paraId="351F1101" w14:textId="77777777" w:rsidR="00973CCE" w:rsidRPr="001E534A" w:rsidRDefault="00973CCE" w:rsidP="00075B45">
            <w:pPr>
              <w:autoSpaceDE w:val="0"/>
              <w:autoSpaceDN w:val="0"/>
              <w:adjustRightInd w:val="0"/>
              <w:ind w:left="709" w:hanging="709"/>
              <w:jc w:val="both"/>
              <w:rPr>
                <w:color w:val="000000" w:themeColor="text1"/>
              </w:rPr>
            </w:pPr>
            <w:r w:rsidRPr="1C4D8006">
              <w:rPr>
                <w:color w:val="000000" w:themeColor="text1"/>
              </w:rPr>
              <w:t>Exempt</w:t>
            </w:r>
          </w:p>
        </w:tc>
      </w:tr>
      <w:tr w:rsidR="00973CCE" w:rsidRPr="001E534A" w14:paraId="156204EB" w14:textId="77777777" w:rsidTr="004147A3">
        <w:tc>
          <w:tcPr>
            <w:tcW w:w="4536" w:type="dxa"/>
          </w:tcPr>
          <w:p w14:paraId="312670E8" w14:textId="77777777" w:rsidR="00973CCE" w:rsidRPr="001E534A" w:rsidRDefault="00973CCE" w:rsidP="00075B45">
            <w:pPr>
              <w:autoSpaceDE w:val="0"/>
              <w:autoSpaceDN w:val="0"/>
              <w:adjustRightInd w:val="0"/>
              <w:ind w:left="709" w:hanging="709"/>
              <w:jc w:val="both"/>
            </w:pPr>
            <w:r w:rsidRPr="001E534A">
              <w:rPr>
                <w:color w:val="000000" w:themeColor="text1"/>
              </w:rPr>
              <w:t>Below threshold award notice</w:t>
            </w:r>
          </w:p>
        </w:tc>
        <w:tc>
          <w:tcPr>
            <w:tcW w:w="4536" w:type="dxa"/>
          </w:tcPr>
          <w:p w14:paraId="2AC652C4" w14:textId="77777777" w:rsidR="00973CCE" w:rsidRPr="001E534A" w:rsidRDefault="00973CCE" w:rsidP="00075B45">
            <w:pPr>
              <w:autoSpaceDE w:val="0"/>
              <w:autoSpaceDN w:val="0"/>
              <w:adjustRightInd w:val="0"/>
              <w:ind w:left="709" w:hanging="709"/>
              <w:jc w:val="both"/>
              <w:rPr>
                <w:color w:val="000000" w:themeColor="text1"/>
              </w:rPr>
            </w:pPr>
            <w:r w:rsidRPr="1C4D8006">
              <w:rPr>
                <w:color w:val="000000" w:themeColor="text1"/>
              </w:rPr>
              <w:t>Exempt</w:t>
            </w:r>
          </w:p>
        </w:tc>
      </w:tr>
      <w:tr w:rsidR="00973CCE" w:rsidRPr="001E534A" w14:paraId="2BFCB809" w14:textId="77777777" w:rsidTr="004147A3">
        <w:tc>
          <w:tcPr>
            <w:tcW w:w="4536" w:type="dxa"/>
          </w:tcPr>
          <w:p w14:paraId="6C636B6F" w14:textId="77777777" w:rsidR="00973CCE" w:rsidRPr="001E534A" w:rsidRDefault="00973CCE" w:rsidP="00075B45">
            <w:pPr>
              <w:autoSpaceDE w:val="0"/>
              <w:autoSpaceDN w:val="0"/>
              <w:adjustRightInd w:val="0"/>
              <w:ind w:left="709" w:hanging="709"/>
              <w:jc w:val="both"/>
            </w:pPr>
            <w:r w:rsidRPr="001E534A">
              <w:rPr>
                <w:color w:val="000000" w:themeColor="text1"/>
              </w:rPr>
              <w:t>Payment notification</w:t>
            </w:r>
          </w:p>
        </w:tc>
        <w:tc>
          <w:tcPr>
            <w:tcW w:w="4536" w:type="dxa"/>
          </w:tcPr>
          <w:p w14:paraId="3D1D66C7" w14:textId="77777777" w:rsidR="00973CCE" w:rsidRPr="001E534A" w:rsidRDefault="00973CCE" w:rsidP="00075B45">
            <w:pPr>
              <w:autoSpaceDE w:val="0"/>
              <w:autoSpaceDN w:val="0"/>
              <w:adjustRightInd w:val="0"/>
              <w:ind w:left="709" w:hanging="709"/>
              <w:jc w:val="both"/>
              <w:rPr>
                <w:color w:val="000000" w:themeColor="text1"/>
              </w:rPr>
            </w:pPr>
            <w:r w:rsidRPr="5B5ABFE7">
              <w:rPr>
                <w:color w:val="000000" w:themeColor="text1"/>
              </w:rPr>
              <w:t>Exempt</w:t>
            </w:r>
          </w:p>
        </w:tc>
      </w:tr>
    </w:tbl>
    <w:p w14:paraId="63E5BC45" w14:textId="77777777" w:rsidR="00973CCE" w:rsidRPr="00973CCE" w:rsidRDefault="00973CCE" w:rsidP="00075B45">
      <w:pPr>
        <w:ind w:left="709" w:hanging="709"/>
      </w:pPr>
    </w:p>
    <w:p w14:paraId="7973003D" w14:textId="0529A3D3" w:rsidR="00C54E87" w:rsidRDefault="00C54E87" w:rsidP="009A079B">
      <w:pPr>
        <w:pStyle w:val="Heading1"/>
      </w:pPr>
      <w:bookmarkStart w:id="34" w:name="_Toc197615338"/>
      <w:r>
        <w:t>Preliminary Market Engagement – Rule 24</w:t>
      </w:r>
      <w:bookmarkEnd w:id="34"/>
    </w:p>
    <w:p w14:paraId="43F89146" w14:textId="461D24FE" w:rsidR="00C54E87" w:rsidRDefault="00C54E87" w:rsidP="00075B45">
      <w:pPr>
        <w:pStyle w:val="ListParagraph"/>
        <w:numPr>
          <w:ilvl w:val="1"/>
          <w:numId w:val="1"/>
        </w:numPr>
        <w:ind w:left="709" w:hanging="709"/>
        <w:jc w:val="both"/>
      </w:pPr>
      <w:r>
        <w:t xml:space="preserve">Notifications </w:t>
      </w:r>
      <w:r w:rsidR="00192442">
        <w:t xml:space="preserve">may </w:t>
      </w:r>
      <w:r>
        <w:t>apply to above threshold contracts</w:t>
      </w:r>
      <w:r>
        <w:t>.</w:t>
      </w:r>
    </w:p>
    <w:p w14:paraId="77599D68" w14:textId="77777777" w:rsidR="00C54E87" w:rsidRPr="00C54E87" w:rsidRDefault="00C54E87" w:rsidP="00075B45">
      <w:pPr>
        <w:ind w:left="709" w:hanging="709"/>
      </w:pPr>
    </w:p>
    <w:p w14:paraId="2149E851" w14:textId="425D325D" w:rsidR="00C54E87" w:rsidRDefault="00C54E87" w:rsidP="009A079B">
      <w:pPr>
        <w:pStyle w:val="Heading1"/>
      </w:pPr>
      <w:bookmarkStart w:id="35" w:name="_Toc197615339"/>
      <w:r>
        <w:t>Receipt and Opening of Tenders and Quotes – Rule 25</w:t>
      </w:r>
      <w:bookmarkEnd w:id="35"/>
    </w:p>
    <w:p w14:paraId="190A5622" w14:textId="4CB099B5" w:rsidR="00C54E87" w:rsidRDefault="00C54E87" w:rsidP="00075B45">
      <w:pPr>
        <w:pStyle w:val="ListParagraph"/>
        <w:numPr>
          <w:ilvl w:val="1"/>
          <w:numId w:val="1"/>
        </w:numPr>
        <w:ind w:left="709" w:hanging="709"/>
        <w:jc w:val="both"/>
      </w:pPr>
      <w:r>
        <w:t>Schools</w:t>
      </w:r>
      <w:r>
        <w:t xml:space="preserve"> are exempt from using the Councils procurement </w:t>
      </w:r>
      <w:r w:rsidR="00192442">
        <w:t>system but</w:t>
      </w:r>
      <w:r>
        <w:t xml:space="preserve"> must ensure above threshold is carried out electronically. </w:t>
      </w:r>
    </w:p>
    <w:p w14:paraId="22790D92" w14:textId="77777777" w:rsidR="00C54E87" w:rsidRPr="00C54E87" w:rsidRDefault="00C54E87" w:rsidP="00075B45">
      <w:pPr>
        <w:ind w:left="709" w:hanging="709"/>
      </w:pPr>
    </w:p>
    <w:p w14:paraId="7D5FAD57" w14:textId="0BE81FBF" w:rsidR="00C54E87" w:rsidRDefault="00C54E87" w:rsidP="009A079B">
      <w:pPr>
        <w:pStyle w:val="Heading1"/>
      </w:pPr>
      <w:bookmarkStart w:id="36" w:name="_Toc197615340"/>
      <w:r>
        <w:t>Award Criteria and Evaluation – Rule 26</w:t>
      </w:r>
      <w:bookmarkEnd w:id="36"/>
    </w:p>
    <w:p w14:paraId="0D1B31C8" w14:textId="4DD32A55" w:rsidR="00C54E87" w:rsidRDefault="00014022" w:rsidP="00075B45">
      <w:pPr>
        <w:pStyle w:val="ListParagraph"/>
        <w:numPr>
          <w:ilvl w:val="1"/>
          <w:numId w:val="1"/>
        </w:numPr>
        <w:ind w:left="709" w:hanging="709"/>
        <w:jc w:val="both"/>
      </w:pPr>
      <w:r>
        <w:t>Schools should use this rule for good practice.</w:t>
      </w:r>
    </w:p>
    <w:p w14:paraId="77A4ECBE" w14:textId="77777777" w:rsidR="00C54E87" w:rsidRPr="00C54E87" w:rsidRDefault="00C54E87" w:rsidP="00075B45">
      <w:pPr>
        <w:ind w:left="709" w:hanging="709"/>
      </w:pPr>
    </w:p>
    <w:p w14:paraId="18CA8265" w14:textId="39F88EB3" w:rsidR="00014022" w:rsidRDefault="00014022" w:rsidP="009A079B">
      <w:pPr>
        <w:pStyle w:val="Heading1"/>
      </w:pPr>
      <w:bookmarkStart w:id="37" w:name="_Toc197615341"/>
      <w:r>
        <w:t>Contract Award and Execution – Rule 27</w:t>
      </w:r>
      <w:bookmarkEnd w:id="37"/>
    </w:p>
    <w:p w14:paraId="63EE4B9D" w14:textId="54C24199" w:rsidR="00014022" w:rsidRDefault="00014022" w:rsidP="00075B45">
      <w:pPr>
        <w:pStyle w:val="ListParagraph"/>
        <w:numPr>
          <w:ilvl w:val="1"/>
          <w:numId w:val="1"/>
        </w:numPr>
        <w:ind w:left="709" w:hanging="709"/>
        <w:jc w:val="both"/>
      </w:pPr>
      <w:r>
        <w:t xml:space="preserve">Schools </w:t>
      </w:r>
      <w:r>
        <w:t>must ensure that contracts are awarded in</w:t>
      </w:r>
      <w:r w:rsidR="00075B45">
        <w:t xml:space="preserve"> </w:t>
      </w:r>
      <w:r>
        <w:t xml:space="preserve">line with </w:t>
      </w:r>
      <w:r w:rsidR="00192442">
        <w:t>school’s</w:t>
      </w:r>
      <w:r w:rsidR="00075B45">
        <w:t xml:space="preserve"> </w:t>
      </w:r>
      <w:r>
        <w:t>governance.</w:t>
      </w:r>
    </w:p>
    <w:p w14:paraId="531190D6" w14:textId="77777777" w:rsidR="00014022" w:rsidRPr="00014022" w:rsidRDefault="00014022" w:rsidP="00075B45">
      <w:pPr>
        <w:ind w:left="709" w:hanging="709"/>
      </w:pPr>
    </w:p>
    <w:p w14:paraId="6F41E8C1" w14:textId="6A548447" w:rsidR="00075B45" w:rsidRDefault="00075B45" w:rsidP="009A079B">
      <w:pPr>
        <w:pStyle w:val="Heading1"/>
      </w:pPr>
      <w:bookmarkStart w:id="38" w:name="_Toc197615342"/>
      <w:r>
        <w:t>Post-Tender Negotiations – Rule 28</w:t>
      </w:r>
      <w:bookmarkEnd w:id="38"/>
    </w:p>
    <w:p w14:paraId="78A5E986" w14:textId="522AFA56" w:rsidR="00075B45" w:rsidRDefault="00075B45" w:rsidP="00075B45">
      <w:pPr>
        <w:pStyle w:val="ListParagraph"/>
        <w:numPr>
          <w:ilvl w:val="1"/>
          <w:numId w:val="1"/>
        </w:numPr>
        <w:ind w:left="709" w:hanging="709"/>
        <w:jc w:val="both"/>
      </w:pPr>
      <w:r>
        <w:t>This rule applied to schools.</w:t>
      </w:r>
    </w:p>
    <w:p w14:paraId="4DD17C99" w14:textId="77777777" w:rsidR="00075B45" w:rsidRPr="00075B45" w:rsidRDefault="00075B45" w:rsidP="00075B45">
      <w:pPr>
        <w:ind w:left="709" w:hanging="709"/>
      </w:pPr>
    </w:p>
    <w:p w14:paraId="3305D043" w14:textId="1B999DA8" w:rsidR="00BC7A4B" w:rsidRDefault="00BC7A4B" w:rsidP="009A079B">
      <w:pPr>
        <w:pStyle w:val="Heading1"/>
      </w:pPr>
      <w:bookmarkStart w:id="39" w:name="_Toc197615343"/>
      <w:r>
        <w:t>Contract Modifications, Novation &amp; Termination to Contracts</w:t>
      </w:r>
      <w:r w:rsidR="006E6709">
        <w:t xml:space="preserve"> – Rule 29</w:t>
      </w:r>
      <w:bookmarkEnd w:id="39"/>
    </w:p>
    <w:p w14:paraId="50C1E9F9" w14:textId="02939792" w:rsidR="0047231F" w:rsidRDefault="00BC7A4B" w:rsidP="00075B45">
      <w:pPr>
        <w:pStyle w:val="ListParagraph"/>
        <w:numPr>
          <w:ilvl w:val="1"/>
          <w:numId w:val="1"/>
        </w:numPr>
        <w:ind w:left="709" w:hanging="709"/>
        <w:jc w:val="both"/>
      </w:pPr>
      <w:r>
        <w:t>Schools should use their own governance for the approval of Contract Modifications, Novation and Termination.</w:t>
      </w:r>
      <w:r w:rsidR="00075B45">
        <w:t xml:space="preserve"> Notifications over threshold will be required where applicable.</w:t>
      </w:r>
    </w:p>
    <w:p w14:paraId="0D74A24E" w14:textId="09746135" w:rsidR="00BC7A4B" w:rsidRDefault="00BC7A4B" w:rsidP="00075B45">
      <w:pPr>
        <w:pStyle w:val="ListParagraph"/>
        <w:ind w:left="709" w:hanging="709"/>
        <w:jc w:val="both"/>
      </w:pPr>
      <w:r>
        <w:t xml:space="preserve"> </w:t>
      </w:r>
    </w:p>
    <w:p w14:paraId="6CB8A31A" w14:textId="57734D8C" w:rsidR="0047231F" w:rsidRDefault="0047231F" w:rsidP="00075B45">
      <w:pPr>
        <w:pStyle w:val="ListParagraph"/>
        <w:numPr>
          <w:ilvl w:val="1"/>
          <w:numId w:val="1"/>
        </w:numPr>
        <w:ind w:left="709" w:hanging="709"/>
        <w:jc w:val="both"/>
      </w:pPr>
      <w:r>
        <w:t>They are not bound by PAG requirements.</w:t>
      </w:r>
    </w:p>
    <w:p w14:paraId="3BAE36A5" w14:textId="77777777" w:rsidR="0047231F" w:rsidRPr="00BC7A4B" w:rsidRDefault="0047231F" w:rsidP="00075B45">
      <w:pPr>
        <w:pStyle w:val="ListParagraph"/>
        <w:ind w:left="709" w:hanging="709"/>
        <w:jc w:val="both"/>
      </w:pPr>
    </w:p>
    <w:p w14:paraId="45839169" w14:textId="26489471" w:rsidR="006E6709" w:rsidRDefault="006E6709" w:rsidP="009A079B">
      <w:pPr>
        <w:pStyle w:val="Heading1"/>
      </w:pPr>
      <w:bookmarkStart w:id="40" w:name="_Toc197615344"/>
      <w:r>
        <w:t>Contract Management – Rule 30</w:t>
      </w:r>
      <w:bookmarkEnd w:id="40"/>
    </w:p>
    <w:p w14:paraId="0FF447E4" w14:textId="6E8F1AAD" w:rsidR="006E6709" w:rsidRDefault="006E6709" w:rsidP="00075B45">
      <w:pPr>
        <w:pStyle w:val="ListParagraph"/>
        <w:numPr>
          <w:ilvl w:val="1"/>
          <w:numId w:val="1"/>
        </w:numPr>
        <w:ind w:left="709" w:hanging="709"/>
        <w:jc w:val="both"/>
      </w:pPr>
      <w:r>
        <w:t xml:space="preserve">Schools </w:t>
      </w:r>
      <w:r w:rsidR="00E65080">
        <w:t>must implement their own governance for the management of contracts.</w:t>
      </w:r>
    </w:p>
    <w:p w14:paraId="0E45344E" w14:textId="77777777" w:rsidR="006E6709" w:rsidRPr="006E6709" w:rsidRDefault="006E6709" w:rsidP="00075B45">
      <w:pPr>
        <w:ind w:left="709" w:hanging="709"/>
      </w:pPr>
    </w:p>
    <w:p w14:paraId="2C662B5D" w14:textId="46ABF1A0" w:rsidR="00075B45" w:rsidRDefault="00075B45" w:rsidP="00192442">
      <w:pPr>
        <w:pStyle w:val="Heading1"/>
      </w:pPr>
      <w:bookmarkStart w:id="41" w:name="_Toc197615345"/>
      <w:r>
        <w:t xml:space="preserve">Contracts, Terms and Conditions – Rule </w:t>
      </w:r>
      <w:r>
        <w:t>31</w:t>
      </w:r>
      <w:bookmarkEnd w:id="41"/>
    </w:p>
    <w:p w14:paraId="669A6BD8" w14:textId="77777777" w:rsidR="00075B45" w:rsidRDefault="00075B45" w:rsidP="00192442">
      <w:pPr>
        <w:numPr>
          <w:ilvl w:val="1"/>
          <w:numId w:val="1"/>
        </w:numPr>
        <w:autoSpaceDE w:val="0"/>
        <w:autoSpaceDN w:val="0"/>
        <w:adjustRightInd w:val="0"/>
        <w:ind w:left="709" w:hanging="709"/>
        <w:jc w:val="both"/>
      </w:pPr>
      <w:r w:rsidRPr="000B61DB">
        <w:t>Schools do not need to apply the implied terms of 30-day payment terms.</w:t>
      </w:r>
    </w:p>
    <w:p w14:paraId="2F88C123" w14:textId="77777777" w:rsidR="00075B45" w:rsidRDefault="00075B45" w:rsidP="009A079B">
      <w:pPr>
        <w:pStyle w:val="Heading1"/>
        <w:numPr>
          <w:ilvl w:val="0"/>
          <w:numId w:val="0"/>
        </w:numPr>
        <w:ind w:left="709"/>
      </w:pPr>
    </w:p>
    <w:p w14:paraId="1E2EFEF5" w14:textId="49A08E88" w:rsidR="00700E7A" w:rsidRDefault="00700E7A" w:rsidP="009A079B">
      <w:pPr>
        <w:pStyle w:val="Heading1"/>
      </w:pPr>
      <w:bookmarkStart w:id="42" w:name="_Hlk197614240"/>
      <w:bookmarkStart w:id="43" w:name="_Toc197615346"/>
      <w:r w:rsidRPr="0011677C">
        <w:t xml:space="preserve">Record </w:t>
      </w:r>
      <w:r>
        <w:t>K</w:t>
      </w:r>
      <w:r w:rsidRPr="0011677C">
        <w:t>eeping</w:t>
      </w:r>
      <w:bookmarkStart w:id="44" w:name="RecordKeeping"/>
      <w:bookmarkEnd w:id="44"/>
      <w:r>
        <w:t xml:space="preserve"> – Rule 32</w:t>
      </w:r>
      <w:bookmarkEnd w:id="33"/>
      <w:bookmarkEnd w:id="43"/>
    </w:p>
    <w:bookmarkEnd w:id="42"/>
    <w:p w14:paraId="43482271" w14:textId="1A74C42C" w:rsidR="00F24D8A" w:rsidRDefault="004563BB" w:rsidP="00075B45">
      <w:pPr>
        <w:pStyle w:val="ListParagraph"/>
        <w:numPr>
          <w:ilvl w:val="1"/>
          <w:numId w:val="1"/>
        </w:numPr>
        <w:ind w:left="709" w:hanging="709"/>
        <w:jc w:val="both"/>
      </w:pPr>
      <w:r>
        <w:t xml:space="preserve">Schools </w:t>
      </w:r>
      <w:r w:rsidR="00700E7A">
        <w:t>should ensure that all records are kept in a central location</w:t>
      </w:r>
      <w:r w:rsidR="003246A1">
        <w:t xml:space="preserve"> within the school</w:t>
      </w:r>
      <w:r w:rsidR="00700E7A">
        <w:t xml:space="preserve">, </w:t>
      </w:r>
      <w:r w:rsidR="00235415">
        <w:t>in line with the Procurement Act 2023</w:t>
      </w:r>
      <w:r w:rsidR="00192442">
        <w:t>.</w:t>
      </w:r>
    </w:p>
    <w:p w14:paraId="0BCE9691" w14:textId="77777777" w:rsidR="00700E7A" w:rsidRDefault="00700E7A" w:rsidP="00075B45">
      <w:pPr>
        <w:ind w:left="709" w:hanging="709"/>
      </w:pPr>
    </w:p>
    <w:p w14:paraId="59E358E2" w14:textId="34D41DB1" w:rsidR="00FD6364" w:rsidRDefault="00FD6364" w:rsidP="00075B45">
      <w:pPr>
        <w:pStyle w:val="ListParagraph"/>
        <w:numPr>
          <w:ilvl w:val="1"/>
          <w:numId w:val="1"/>
        </w:numPr>
        <w:ind w:left="709" w:hanging="709"/>
        <w:jc w:val="both"/>
      </w:pPr>
      <w:r>
        <w:t>Schools should ensure that all records are kept in a central location within the school, in line with the Councils retention policy.</w:t>
      </w:r>
    </w:p>
    <w:p w14:paraId="5895A51F" w14:textId="77777777" w:rsidR="00075B45" w:rsidRDefault="00075B45" w:rsidP="00075B45">
      <w:pPr>
        <w:pStyle w:val="ListParagraph"/>
        <w:ind w:left="709" w:hanging="709"/>
      </w:pPr>
    </w:p>
    <w:p w14:paraId="6BE8A145" w14:textId="4AD9EB5B" w:rsidR="00075B45" w:rsidRDefault="00075B45" w:rsidP="009A079B">
      <w:pPr>
        <w:pStyle w:val="Heading1"/>
      </w:pPr>
      <w:bookmarkStart w:id="45" w:name="_Toc197615347"/>
      <w:r>
        <w:t xml:space="preserve">Prevention of Corruption - </w:t>
      </w:r>
      <w:r>
        <w:t>Rule 3</w:t>
      </w:r>
      <w:r>
        <w:t>3</w:t>
      </w:r>
      <w:bookmarkEnd w:id="45"/>
    </w:p>
    <w:p w14:paraId="3B6CD0DE" w14:textId="6E8DD151" w:rsidR="00075B45" w:rsidRDefault="00075B45" w:rsidP="00075B45">
      <w:pPr>
        <w:pStyle w:val="ListParagraph"/>
        <w:numPr>
          <w:ilvl w:val="1"/>
          <w:numId w:val="1"/>
        </w:numPr>
        <w:ind w:left="709" w:hanging="709"/>
        <w:jc w:val="both"/>
      </w:pPr>
      <w:r>
        <w:t>This rule applies to schools.</w:t>
      </w:r>
    </w:p>
    <w:p w14:paraId="05BB7700" w14:textId="77777777" w:rsidR="00192442" w:rsidRDefault="00192442" w:rsidP="00192442">
      <w:pPr>
        <w:pStyle w:val="ListParagraph"/>
        <w:ind w:left="709" w:firstLine="0"/>
        <w:jc w:val="both"/>
      </w:pPr>
    </w:p>
    <w:p w14:paraId="525E2EDE" w14:textId="5A6F140A" w:rsidR="00075B45" w:rsidRDefault="00075B45" w:rsidP="009A079B">
      <w:pPr>
        <w:pStyle w:val="Heading1"/>
      </w:pPr>
      <w:bookmarkStart w:id="46" w:name="_Toc197615348"/>
      <w:r>
        <w:t>Grant Funding</w:t>
      </w:r>
      <w:r>
        <w:t xml:space="preserve"> – Rule 3</w:t>
      </w:r>
      <w:r>
        <w:t>4</w:t>
      </w:r>
      <w:bookmarkEnd w:id="46"/>
    </w:p>
    <w:p w14:paraId="701CD677" w14:textId="77777777" w:rsidR="00075B45" w:rsidRDefault="00075B45" w:rsidP="00075B45">
      <w:pPr>
        <w:pStyle w:val="ListParagraph"/>
        <w:numPr>
          <w:ilvl w:val="1"/>
          <w:numId w:val="1"/>
        </w:numPr>
        <w:ind w:left="709" w:hanging="709"/>
        <w:jc w:val="both"/>
      </w:pPr>
      <w:r>
        <w:t>This rule applies to schools.</w:t>
      </w:r>
    </w:p>
    <w:p w14:paraId="11AC491A" w14:textId="77777777" w:rsidR="00075B45" w:rsidRPr="00075B45" w:rsidRDefault="00075B45" w:rsidP="00075B45">
      <w:pPr>
        <w:ind w:left="709" w:hanging="709"/>
      </w:pPr>
    </w:p>
    <w:p w14:paraId="72609B72" w14:textId="6D293823" w:rsidR="00075B45" w:rsidRDefault="00075B45" w:rsidP="009A079B">
      <w:pPr>
        <w:pStyle w:val="Heading1"/>
      </w:pPr>
      <w:bookmarkStart w:id="47" w:name="_Toc197615349"/>
      <w:r>
        <w:t xml:space="preserve">IR35 </w:t>
      </w:r>
      <w:r>
        <w:t>– Rule 3</w:t>
      </w:r>
      <w:r>
        <w:t>5</w:t>
      </w:r>
      <w:bookmarkEnd w:id="47"/>
    </w:p>
    <w:p w14:paraId="615B85AF" w14:textId="77777777" w:rsidR="00075B45" w:rsidRDefault="00075B45" w:rsidP="00075B45">
      <w:pPr>
        <w:pStyle w:val="ListParagraph"/>
        <w:numPr>
          <w:ilvl w:val="1"/>
          <w:numId w:val="1"/>
        </w:numPr>
        <w:ind w:left="709" w:hanging="709"/>
        <w:jc w:val="both"/>
      </w:pPr>
      <w:r>
        <w:t>This rule applies to schools.</w:t>
      </w:r>
    </w:p>
    <w:p w14:paraId="44961E24" w14:textId="77777777" w:rsidR="00075B45" w:rsidRPr="00075B45" w:rsidRDefault="00075B45" w:rsidP="00075B45">
      <w:pPr>
        <w:ind w:left="709" w:hanging="709"/>
      </w:pPr>
    </w:p>
    <w:p w14:paraId="4E0F33E7" w14:textId="4F945DF3" w:rsidR="00075B45" w:rsidRDefault="00075B45" w:rsidP="009A079B">
      <w:pPr>
        <w:pStyle w:val="Heading1"/>
      </w:pPr>
      <w:bookmarkStart w:id="48" w:name="_Toc197615350"/>
      <w:r>
        <w:t xml:space="preserve">Consultation </w:t>
      </w:r>
      <w:r>
        <w:t>– Rule 3</w:t>
      </w:r>
      <w:r>
        <w:t>6</w:t>
      </w:r>
      <w:bookmarkEnd w:id="48"/>
    </w:p>
    <w:p w14:paraId="3847032E" w14:textId="7EDE4C92" w:rsidR="00075B45" w:rsidRDefault="00075B45" w:rsidP="00075B45">
      <w:pPr>
        <w:pStyle w:val="ListParagraph"/>
        <w:numPr>
          <w:ilvl w:val="1"/>
          <w:numId w:val="1"/>
        </w:numPr>
        <w:ind w:left="709" w:hanging="709"/>
        <w:jc w:val="both"/>
      </w:pPr>
      <w:r>
        <w:t xml:space="preserve">This rule </w:t>
      </w:r>
      <w:r>
        <w:t xml:space="preserve">does not </w:t>
      </w:r>
      <w:r w:rsidR="00192442">
        <w:t>apply</w:t>
      </w:r>
      <w:r>
        <w:t xml:space="preserve"> to schools.</w:t>
      </w:r>
    </w:p>
    <w:p w14:paraId="6AA3931C" w14:textId="77777777" w:rsidR="003B18F6" w:rsidRDefault="003B18F6" w:rsidP="003B18F6">
      <w:pPr>
        <w:ind w:left="0"/>
        <w:jc w:val="both"/>
      </w:pPr>
    </w:p>
    <w:p w14:paraId="42F4246F" w14:textId="77777777" w:rsidR="00567F78" w:rsidRDefault="00567F78" w:rsidP="007B230A"/>
    <w:sectPr w:rsidR="00567F78">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70281" w14:textId="77777777" w:rsidR="002571FB" w:rsidRDefault="002571FB" w:rsidP="00331A35">
      <w:r>
        <w:separator/>
      </w:r>
    </w:p>
  </w:endnote>
  <w:endnote w:type="continuationSeparator" w:id="0">
    <w:p w14:paraId="1B55E8A5" w14:textId="77777777" w:rsidR="002571FB" w:rsidRDefault="002571FB" w:rsidP="00331A35">
      <w:r>
        <w:continuationSeparator/>
      </w:r>
    </w:p>
  </w:endnote>
  <w:endnote w:type="continuationNotice" w:id="1">
    <w:p w14:paraId="04F429A1" w14:textId="77777777" w:rsidR="002571FB" w:rsidRDefault="002571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591738"/>
      <w:docPartObj>
        <w:docPartGallery w:val="Page Numbers (Bottom of Page)"/>
        <w:docPartUnique/>
      </w:docPartObj>
    </w:sdtPr>
    <w:sdtEndPr/>
    <w:sdtContent>
      <w:p w14:paraId="4FD3ABC7" w14:textId="77777777" w:rsidR="005967D0" w:rsidRDefault="005967D0">
        <w:pPr>
          <w:pStyle w:val="Footer"/>
          <w:jc w:val="center"/>
        </w:pPr>
        <w:r>
          <w:fldChar w:fldCharType="begin"/>
        </w:r>
        <w:r>
          <w:instrText>PAGE   \* MERGEFORMAT</w:instrText>
        </w:r>
        <w:r>
          <w:fldChar w:fldCharType="separate"/>
        </w:r>
        <w:r>
          <w:t>2</w:t>
        </w:r>
        <w:r>
          <w:fldChar w:fldCharType="end"/>
        </w:r>
      </w:p>
      <w:p w14:paraId="5701977E" w14:textId="70A37B86" w:rsidR="005967D0" w:rsidRDefault="00075B45" w:rsidP="005967D0">
        <w:pPr>
          <w:pStyle w:val="Footer"/>
        </w:pPr>
        <w:r>
          <w:t>08</w:t>
        </w:r>
        <w:r w:rsidR="000D48C5">
          <w:t>.0</w:t>
        </w:r>
        <w:r>
          <w:t>5</w:t>
        </w:r>
        <w:r w:rsidR="000D48C5">
          <w:t>.2025</w:t>
        </w:r>
      </w:p>
    </w:sdtContent>
  </w:sdt>
  <w:p w14:paraId="1A2A9934" w14:textId="4DD09C1B" w:rsidR="00331A35" w:rsidRDefault="00331A35" w:rsidP="003B4F33">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E07CB" w14:textId="77777777" w:rsidR="002571FB" w:rsidRDefault="002571FB" w:rsidP="00331A35">
      <w:r>
        <w:separator/>
      </w:r>
    </w:p>
  </w:footnote>
  <w:footnote w:type="continuationSeparator" w:id="0">
    <w:p w14:paraId="16066B48" w14:textId="77777777" w:rsidR="002571FB" w:rsidRDefault="002571FB" w:rsidP="00331A35">
      <w:r>
        <w:continuationSeparator/>
      </w:r>
    </w:p>
  </w:footnote>
  <w:footnote w:type="continuationNotice" w:id="1">
    <w:p w14:paraId="4E77EB2D" w14:textId="77777777" w:rsidR="002571FB" w:rsidRDefault="002571F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437AA"/>
    <w:multiLevelType w:val="multilevel"/>
    <w:tmpl w:val="CFEABADC"/>
    <w:lvl w:ilvl="0">
      <w:start w:val="1"/>
      <w:numFmt w:val="decimal"/>
      <w:lvlText w:val="%1"/>
      <w:lvlJc w:val="left"/>
      <w:pPr>
        <w:ind w:left="720" w:hanging="720"/>
      </w:pPr>
    </w:lvl>
    <w:lvl w:ilvl="1">
      <w:start w:val="1"/>
      <w:numFmt w:val="decimal"/>
      <w:lvlText w:val="%1.%2"/>
      <w:lvlJc w:val="left"/>
      <w:pPr>
        <w:ind w:left="720" w:hanging="720"/>
      </w:pPr>
      <w:rPr>
        <w:rFonts w:hint="default"/>
      </w:rPr>
    </w:lvl>
    <w:lvl w:ilvl="2">
      <w:start w:val="1"/>
      <w:numFmt w:val="lowerRoman"/>
      <w:lvlText w:val="(%3)"/>
      <w:lvlJc w:val="right"/>
      <w:pPr>
        <w:ind w:left="360" w:hanging="360"/>
      </w:p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9055E5F"/>
    <w:multiLevelType w:val="hybridMultilevel"/>
    <w:tmpl w:val="48903194"/>
    <w:lvl w:ilvl="0" w:tplc="9A6EF7B0">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2DBA7F0D"/>
    <w:multiLevelType w:val="hybridMultilevel"/>
    <w:tmpl w:val="BC04821A"/>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2EBD5525"/>
    <w:multiLevelType w:val="hybridMultilevel"/>
    <w:tmpl w:val="63BCAE98"/>
    <w:lvl w:ilvl="0" w:tplc="8F448DAE">
      <w:start w:val="1"/>
      <w:numFmt w:val="decimal"/>
      <w:lvlText w:val="4.1%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 w15:restartNumberingAfterBreak="0">
    <w:nsid w:val="2FBA41F8"/>
    <w:multiLevelType w:val="multilevel"/>
    <w:tmpl w:val="024ED0E4"/>
    <w:lvl w:ilvl="0">
      <w:start w:val="1"/>
      <w:numFmt w:val="decimal"/>
      <w:pStyle w:val="Heading1"/>
      <w:lvlText w:val="%1."/>
      <w:lvlJc w:val="left"/>
      <w:pPr>
        <w:ind w:left="3240" w:hanging="360"/>
      </w:pPr>
      <w:rPr>
        <w:rFonts w:hint="default"/>
      </w:rPr>
    </w:lvl>
    <w:lvl w:ilvl="1">
      <w:start w:val="1"/>
      <w:numFmt w:val="decimal"/>
      <w:isLgl/>
      <w:lvlText w:val="%1.%2"/>
      <w:lvlJc w:val="left"/>
      <w:pPr>
        <w:ind w:left="3240" w:hanging="360"/>
      </w:pPr>
      <w:rPr>
        <w:rFonts w:hint="default"/>
      </w:rPr>
    </w:lvl>
    <w:lvl w:ilvl="2">
      <w:start w:val="1"/>
      <w:numFmt w:val="lowerRoman"/>
      <w:lvlText w:val="(%3)"/>
      <w:lvlJc w:val="right"/>
      <w:pPr>
        <w:ind w:left="3240" w:hanging="360"/>
      </w:pPr>
      <w:rPr>
        <w:rFonts w:hint="default"/>
        <w:b w:val="0"/>
        <w:bCs w:val="0"/>
        <w:sz w:val="24"/>
        <w:szCs w:val="20"/>
      </w:rPr>
    </w:lvl>
    <w:lvl w:ilvl="3">
      <w:start w:val="1"/>
      <w:numFmt w:val="decimal"/>
      <w:isLgl/>
      <w:lvlText w:val="%1.%2.%3.%4"/>
      <w:lvlJc w:val="left"/>
      <w:pPr>
        <w:ind w:left="396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4680" w:hanging="1800"/>
      </w:pPr>
      <w:rPr>
        <w:rFonts w:hint="default"/>
      </w:rPr>
    </w:lvl>
  </w:abstractNum>
  <w:abstractNum w:abstractNumId="5" w15:restartNumberingAfterBreak="0">
    <w:nsid w:val="3C8C19E0"/>
    <w:multiLevelType w:val="hybridMultilevel"/>
    <w:tmpl w:val="A96AC372"/>
    <w:lvl w:ilvl="0" w:tplc="F7E000C0">
      <w:start w:val="1"/>
      <w:numFmt w:val="lowerRoman"/>
      <w:lvlText w:val="(%1)"/>
      <w:lvlJc w:val="right"/>
      <w:pPr>
        <w:ind w:left="720" w:hanging="360"/>
      </w:pPr>
      <w:rPr>
        <w:rFonts w:hint="default"/>
        <w:b w:val="0"/>
        <w:bCs w:val="0"/>
        <w:sz w:val="24"/>
        <w:szCs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68494B"/>
    <w:multiLevelType w:val="hybridMultilevel"/>
    <w:tmpl w:val="C7EEA078"/>
    <w:lvl w:ilvl="0" w:tplc="FFFFFFFF">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37A6A35"/>
    <w:multiLevelType w:val="hybridMultilevel"/>
    <w:tmpl w:val="88D2477C"/>
    <w:lvl w:ilvl="0" w:tplc="9A6EF7B0">
      <w:start w:val="1"/>
      <w:numFmt w:val="lowerRoman"/>
      <w:lvlText w:val="(%1)"/>
      <w:lvlJc w:val="righ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8" w15:restartNumberingAfterBreak="0">
    <w:nsid w:val="44F93BFA"/>
    <w:multiLevelType w:val="hybridMultilevel"/>
    <w:tmpl w:val="2F5A150A"/>
    <w:lvl w:ilvl="0" w:tplc="F7E000C0">
      <w:start w:val="1"/>
      <w:numFmt w:val="lowerRoman"/>
      <w:lvlText w:val="(%1)"/>
      <w:lvlJc w:val="right"/>
      <w:pPr>
        <w:ind w:left="360" w:hanging="360"/>
      </w:pPr>
      <w:rPr>
        <w:rFonts w:hint="default"/>
        <w:b w:val="0"/>
        <w:bCs w:val="0"/>
        <w:sz w:val="24"/>
        <w:szCs w:val="2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1AF5D34"/>
    <w:multiLevelType w:val="hybridMultilevel"/>
    <w:tmpl w:val="D6063138"/>
    <w:lvl w:ilvl="0" w:tplc="F7E000C0">
      <w:start w:val="1"/>
      <w:numFmt w:val="lowerRoman"/>
      <w:lvlText w:val="(%1)"/>
      <w:lvlJc w:val="right"/>
      <w:pPr>
        <w:ind w:left="720" w:hanging="360"/>
      </w:pPr>
      <w:rPr>
        <w:rFonts w:hint="default"/>
        <w:b w:val="0"/>
        <w:bCs w:val="0"/>
        <w:sz w:val="24"/>
        <w:szCs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3EF018F"/>
    <w:multiLevelType w:val="hybridMultilevel"/>
    <w:tmpl w:val="F9F0EFDC"/>
    <w:lvl w:ilvl="0" w:tplc="F7E000C0">
      <w:start w:val="1"/>
      <w:numFmt w:val="lowerRoman"/>
      <w:lvlText w:val="(%1)"/>
      <w:lvlJc w:val="right"/>
      <w:pPr>
        <w:ind w:left="720" w:hanging="360"/>
      </w:pPr>
      <w:rPr>
        <w:rFonts w:hint="default"/>
        <w:b w:val="0"/>
        <w:bCs w:val="0"/>
        <w:sz w:val="24"/>
        <w:szCs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A141700"/>
    <w:multiLevelType w:val="hybridMultilevel"/>
    <w:tmpl w:val="C7EEA078"/>
    <w:lvl w:ilvl="0" w:tplc="9A6EF7B0">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F216626"/>
    <w:multiLevelType w:val="hybridMultilevel"/>
    <w:tmpl w:val="2692F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8985567">
    <w:abstractNumId w:val="4"/>
  </w:num>
  <w:num w:numId="2" w16cid:durableId="1942103264">
    <w:abstractNumId w:val="12"/>
  </w:num>
  <w:num w:numId="3" w16cid:durableId="1565066655">
    <w:abstractNumId w:val="4"/>
    <w:lvlOverride w:ilvl="0">
      <w:startOverride w:val="1"/>
    </w:lvlOverride>
  </w:num>
  <w:num w:numId="4" w16cid:durableId="2043435130">
    <w:abstractNumId w:val="11"/>
  </w:num>
  <w:num w:numId="5" w16cid:durableId="1046100466">
    <w:abstractNumId w:val="4"/>
    <w:lvlOverride w:ilvl="0">
      <w:startOverride w:val="1"/>
    </w:lvlOverride>
  </w:num>
  <w:num w:numId="6" w16cid:durableId="372849743">
    <w:abstractNumId w:val="4"/>
    <w:lvlOverride w:ilvl="0">
      <w:startOverride w:val="1"/>
    </w:lvlOverride>
  </w:num>
  <w:num w:numId="7" w16cid:durableId="2077581451">
    <w:abstractNumId w:val="1"/>
  </w:num>
  <w:num w:numId="8" w16cid:durableId="541599894">
    <w:abstractNumId w:val="4"/>
    <w:lvlOverride w:ilvl="0">
      <w:startOverride w:val="1"/>
    </w:lvlOverride>
  </w:num>
  <w:num w:numId="9" w16cid:durableId="2018657628">
    <w:abstractNumId w:val="4"/>
    <w:lvlOverride w:ilvl="0">
      <w:startOverride w:val="1"/>
    </w:lvlOverride>
  </w:num>
  <w:num w:numId="10" w16cid:durableId="1866674831">
    <w:abstractNumId w:val="4"/>
    <w:lvlOverride w:ilvl="0">
      <w:startOverride w:val="1"/>
    </w:lvlOverride>
  </w:num>
  <w:num w:numId="11" w16cid:durableId="1388719970">
    <w:abstractNumId w:val="4"/>
    <w:lvlOverride w:ilvl="0">
      <w:startOverride w:val="1"/>
    </w:lvlOverride>
  </w:num>
  <w:num w:numId="12" w16cid:durableId="1181579102">
    <w:abstractNumId w:val="4"/>
    <w:lvlOverride w:ilvl="0">
      <w:startOverride w:val="1"/>
    </w:lvlOverride>
  </w:num>
  <w:num w:numId="13" w16cid:durableId="319504624">
    <w:abstractNumId w:val="4"/>
    <w:lvlOverride w:ilvl="0">
      <w:startOverride w:val="1"/>
    </w:lvlOverride>
  </w:num>
  <w:num w:numId="14" w16cid:durableId="1791237200">
    <w:abstractNumId w:val="4"/>
    <w:lvlOverride w:ilvl="0">
      <w:startOverride w:val="1"/>
    </w:lvlOverride>
  </w:num>
  <w:num w:numId="15" w16cid:durableId="381712139">
    <w:abstractNumId w:val="7"/>
  </w:num>
  <w:num w:numId="16" w16cid:durableId="1548177527">
    <w:abstractNumId w:val="2"/>
  </w:num>
  <w:num w:numId="17" w16cid:durableId="480854571">
    <w:abstractNumId w:val="3"/>
  </w:num>
  <w:num w:numId="18" w16cid:durableId="250311498">
    <w:abstractNumId w:val="6"/>
  </w:num>
  <w:num w:numId="19" w16cid:durableId="133646857">
    <w:abstractNumId w:val="0"/>
  </w:num>
  <w:num w:numId="20" w16cid:durableId="419840698">
    <w:abstractNumId w:val="4"/>
    <w:lvlOverride w:ilvl="0">
      <w:startOverride w:val="1"/>
    </w:lvlOverride>
    <w:lvlOverride w:ilvl="1">
      <w:startOverride w:val="4"/>
    </w:lvlOverride>
  </w:num>
  <w:num w:numId="21" w16cid:durableId="851601086">
    <w:abstractNumId w:val="9"/>
  </w:num>
  <w:num w:numId="22" w16cid:durableId="3285949">
    <w:abstractNumId w:val="5"/>
  </w:num>
  <w:num w:numId="23" w16cid:durableId="1850679633">
    <w:abstractNumId w:val="10"/>
  </w:num>
  <w:num w:numId="24" w16cid:durableId="1195079879">
    <w:abstractNumId w:val="8"/>
  </w:num>
  <w:num w:numId="25" w16cid:durableId="6652826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406298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569090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824417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392809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099329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526779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0B8"/>
    <w:rsid w:val="00014022"/>
    <w:rsid w:val="00035B59"/>
    <w:rsid w:val="00053D95"/>
    <w:rsid w:val="000573BA"/>
    <w:rsid w:val="000739AC"/>
    <w:rsid w:val="00075B45"/>
    <w:rsid w:val="000A24D0"/>
    <w:rsid w:val="000D48C5"/>
    <w:rsid w:val="000E6663"/>
    <w:rsid w:val="0013256A"/>
    <w:rsid w:val="001760E2"/>
    <w:rsid w:val="00192193"/>
    <w:rsid w:val="00192442"/>
    <w:rsid w:val="001B3262"/>
    <w:rsid w:val="001C5582"/>
    <w:rsid w:val="001D3B67"/>
    <w:rsid w:val="001E0335"/>
    <w:rsid w:val="001E1589"/>
    <w:rsid w:val="001E3DE0"/>
    <w:rsid w:val="001E534A"/>
    <w:rsid w:val="002144EF"/>
    <w:rsid w:val="00214723"/>
    <w:rsid w:val="00225346"/>
    <w:rsid w:val="00235415"/>
    <w:rsid w:val="002357C2"/>
    <w:rsid w:val="00236D4A"/>
    <w:rsid w:val="00247B41"/>
    <w:rsid w:val="002510F1"/>
    <w:rsid w:val="00252A4B"/>
    <w:rsid w:val="00253B4A"/>
    <w:rsid w:val="002571FB"/>
    <w:rsid w:val="0026528D"/>
    <w:rsid w:val="0029716F"/>
    <w:rsid w:val="00306DEF"/>
    <w:rsid w:val="003246A1"/>
    <w:rsid w:val="00331A35"/>
    <w:rsid w:val="00350FFF"/>
    <w:rsid w:val="0035690D"/>
    <w:rsid w:val="0035770C"/>
    <w:rsid w:val="00377D13"/>
    <w:rsid w:val="00381ABB"/>
    <w:rsid w:val="00382249"/>
    <w:rsid w:val="003B18F6"/>
    <w:rsid w:val="003B4F33"/>
    <w:rsid w:val="003D5DD1"/>
    <w:rsid w:val="003F47E8"/>
    <w:rsid w:val="00407980"/>
    <w:rsid w:val="004147A3"/>
    <w:rsid w:val="00424868"/>
    <w:rsid w:val="00451E23"/>
    <w:rsid w:val="004547CA"/>
    <w:rsid w:val="004563BB"/>
    <w:rsid w:val="00462DB1"/>
    <w:rsid w:val="0047172C"/>
    <w:rsid w:val="0047231F"/>
    <w:rsid w:val="00474951"/>
    <w:rsid w:val="00484575"/>
    <w:rsid w:val="00494F60"/>
    <w:rsid w:val="004B7966"/>
    <w:rsid w:val="004C375D"/>
    <w:rsid w:val="004E2F22"/>
    <w:rsid w:val="004E51ED"/>
    <w:rsid w:val="00523042"/>
    <w:rsid w:val="00532B0B"/>
    <w:rsid w:val="00547E83"/>
    <w:rsid w:val="00551385"/>
    <w:rsid w:val="00562FFA"/>
    <w:rsid w:val="00567F78"/>
    <w:rsid w:val="00573461"/>
    <w:rsid w:val="005967D0"/>
    <w:rsid w:val="005D64C5"/>
    <w:rsid w:val="005E402B"/>
    <w:rsid w:val="006005F6"/>
    <w:rsid w:val="006278F7"/>
    <w:rsid w:val="006449EA"/>
    <w:rsid w:val="006843B5"/>
    <w:rsid w:val="00686F8C"/>
    <w:rsid w:val="006A0A80"/>
    <w:rsid w:val="006A0A89"/>
    <w:rsid w:val="006C25FC"/>
    <w:rsid w:val="006C44F8"/>
    <w:rsid w:val="006D3704"/>
    <w:rsid w:val="006E6709"/>
    <w:rsid w:val="00700E7A"/>
    <w:rsid w:val="00732AE0"/>
    <w:rsid w:val="007339FF"/>
    <w:rsid w:val="007B230A"/>
    <w:rsid w:val="007B5B56"/>
    <w:rsid w:val="007E0FF3"/>
    <w:rsid w:val="007E47E1"/>
    <w:rsid w:val="007F7C86"/>
    <w:rsid w:val="00805ADD"/>
    <w:rsid w:val="00810627"/>
    <w:rsid w:val="00811898"/>
    <w:rsid w:val="008275CF"/>
    <w:rsid w:val="00831F3C"/>
    <w:rsid w:val="00834895"/>
    <w:rsid w:val="008353D6"/>
    <w:rsid w:val="00835B9F"/>
    <w:rsid w:val="00844243"/>
    <w:rsid w:val="008633B8"/>
    <w:rsid w:val="00874C2A"/>
    <w:rsid w:val="00893F82"/>
    <w:rsid w:val="00896D4D"/>
    <w:rsid w:val="00896E22"/>
    <w:rsid w:val="008D770C"/>
    <w:rsid w:val="008E6511"/>
    <w:rsid w:val="00902E43"/>
    <w:rsid w:val="00953D8C"/>
    <w:rsid w:val="00961CEC"/>
    <w:rsid w:val="00973CCE"/>
    <w:rsid w:val="009860B8"/>
    <w:rsid w:val="00986B6E"/>
    <w:rsid w:val="009A079B"/>
    <w:rsid w:val="009D0533"/>
    <w:rsid w:val="009E7399"/>
    <w:rsid w:val="00A0439F"/>
    <w:rsid w:val="00A074AD"/>
    <w:rsid w:val="00A14647"/>
    <w:rsid w:val="00A230CD"/>
    <w:rsid w:val="00A27BC7"/>
    <w:rsid w:val="00A30B9A"/>
    <w:rsid w:val="00A7114C"/>
    <w:rsid w:val="00A8651C"/>
    <w:rsid w:val="00AA2735"/>
    <w:rsid w:val="00AD39ED"/>
    <w:rsid w:val="00AE5475"/>
    <w:rsid w:val="00AE7554"/>
    <w:rsid w:val="00AF1BC0"/>
    <w:rsid w:val="00AF7D3C"/>
    <w:rsid w:val="00B03F98"/>
    <w:rsid w:val="00B1714D"/>
    <w:rsid w:val="00B318C0"/>
    <w:rsid w:val="00B32DDF"/>
    <w:rsid w:val="00B35994"/>
    <w:rsid w:val="00B44F2C"/>
    <w:rsid w:val="00B7013C"/>
    <w:rsid w:val="00BC29FF"/>
    <w:rsid w:val="00BC7A4B"/>
    <w:rsid w:val="00BE255F"/>
    <w:rsid w:val="00BE5ED5"/>
    <w:rsid w:val="00C004DE"/>
    <w:rsid w:val="00C03CA3"/>
    <w:rsid w:val="00C17AC9"/>
    <w:rsid w:val="00C2156E"/>
    <w:rsid w:val="00C43BB3"/>
    <w:rsid w:val="00C54BAE"/>
    <w:rsid w:val="00C54E87"/>
    <w:rsid w:val="00C739C8"/>
    <w:rsid w:val="00C75D56"/>
    <w:rsid w:val="00C97C54"/>
    <w:rsid w:val="00CA11CF"/>
    <w:rsid w:val="00CA71F0"/>
    <w:rsid w:val="00CC0B6B"/>
    <w:rsid w:val="00CC3561"/>
    <w:rsid w:val="00CD296A"/>
    <w:rsid w:val="00D13B0C"/>
    <w:rsid w:val="00D665B3"/>
    <w:rsid w:val="00D71E09"/>
    <w:rsid w:val="00D728E7"/>
    <w:rsid w:val="00D74E7F"/>
    <w:rsid w:val="00D755AE"/>
    <w:rsid w:val="00D96C16"/>
    <w:rsid w:val="00DB61E7"/>
    <w:rsid w:val="00DD2143"/>
    <w:rsid w:val="00DE4860"/>
    <w:rsid w:val="00DF6138"/>
    <w:rsid w:val="00E0789D"/>
    <w:rsid w:val="00E07AE3"/>
    <w:rsid w:val="00E114D9"/>
    <w:rsid w:val="00E1448A"/>
    <w:rsid w:val="00E16BB5"/>
    <w:rsid w:val="00E30341"/>
    <w:rsid w:val="00E452A2"/>
    <w:rsid w:val="00E62DF5"/>
    <w:rsid w:val="00E65080"/>
    <w:rsid w:val="00E72D39"/>
    <w:rsid w:val="00E77B5F"/>
    <w:rsid w:val="00E8593D"/>
    <w:rsid w:val="00E87DC8"/>
    <w:rsid w:val="00E940F9"/>
    <w:rsid w:val="00EA520E"/>
    <w:rsid w:val="00EB4C23"/>
    <w:rsid w:val="00EB77C0"/>
    <w:rsid w:val="00EC3874"/>
    <w:rsid w:val="00EE058D"/>
    <w:rsid w:val="00EE4695"/>
    <w:rsid w:val="00F01D43"/>
    <w:rsid w:val="00F041A1"/>
    <w:rsid w:val="00F2281E"/>
    <w:rsid w:val="00F24D8A"/>
    <w:rsid w:val="00F41E1C"/>
    <w:rsid w:val="00F46234"/>
    <w:rsid w:val="00F536AF"/>
    <w:rsid w:val="00F5459D"/>
    <w:rsid w:val="00F70040"/>
    <w:rsid w:val="00F70A24"/>
    <w:rsid w:val="00F914A8"/>
    <w:rsid w:val="00FA10FC"/>
    <w:rsid w:val="00FB119D"/>
    <w:rsid w:val="00FB7F9B"/>
    <w:rsid w:val="00FD6364"/>
    <w:rsid w:val="00FE28B2"/>
    <w:rsid w:val="02241B63"/>
    <w:rsid w:val="0BE943BB"/>
    <w:rsid w:val="1681BC7A"/>
    <w:rsid w:val="19E55B89"/>
    <w:rsid w:val="1BE143BB"/>
    <w:rsid w:val="1C4D8006"/>
    <w:rsid w:val="1DA8D4F1"/>
    <w:rsid w:val="22A22205"/>
    <w:rsid w:val="26B8D015"/>
    <w:rsid w:val="2A5CE363"/>
    <w:rsid w:val="36C8C784"/>
    <w:rsid w:val="378449F7"/>
    <w:rsid w:val="3A9E2B49"/>
    <w:rsid w:val="3C6EE5B7"/>
    <w:rsid w:val="3F69F061"/>
    <w:rsid w:val="40BE647C"/>
    <w:rsid w:val="4E28C768"/>
    <w:rsid w:val="5073FB45"/>
    <w:rsid w:val="520FCBA6"/>
    <w:rsid w:val="5714CCD7"/>
    <w:rsid w:val="59EAC907"/>
    <w:rsid w:val="5B5ABFE7"/>
    <w:rsid w:val="5E7FC976"/>
    <w:rsid w:val="624A6F27"/>
    <w:rsid w:val="6CA76C4C"/>
    <w:rsid w:val="6D7CB045"/>
    <w:rsid w:val="6E4D78B1"/>
    <w:rsid w:val="6F9E285C"/>
    <w:rsid w:val="6FE6F573"/>
    <w:rsid w:val="743D5C09"/>
    <w:rsid w:val="79FB1349"/>
    <w:rsid w:val="7D658142"/>
    <w:rsid w:val="7D9C24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CF8D5"/>
  <w15:chartTrackingRefBased/>
  <w15:docId w15:val="{9D7B6BA1-79E0-427A-AB30-E8878EB64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A89"/>
    <w:pPr>
      <w:spacing w:after="0" w:line="240" w:lineRule="auto"/>
      <w:ind w:left="680"/>
    </w:pPr>
    <w:rPr>
      <w:rFonts w:ascii="Arial" w:eastAsia="Times New Roman" w:hAnsi="Arial" w:cs="Arial"/>
      <w:sz w:val="24"/>
    </w:rPr>
  </w:style>
  <w:style w:type="paragraph" w:styleId="Heading1">
    <w:name w:val="heading 1"/>
    <w:basedOn w:val="Normal"/>
    <w:next w:val="Normal"/>
    <w:link w:val="Heading1Char"/>
    <w:autoRedefine/>
    <w:uiPriority w:val="9"/>
    <w:qFormat/>
    <w:rsid w:val="009A079B"/>
    <w:pPr>
      <w:keepNext/>
      <w:keepLines/>
      <w:numPr>
        <w:numId w:val="1"/>
      </w:numPr>
      <w:autoSpaceDE w:val="0"/>
      <w:autoSpaceDN w:val="0"/>
      <w:adjustRightInd w:val="0"/>
      <w:ind w:left="709" w:hanging="709"/>
      <w:jc w:val="both"/>
      <w:outlineLvl w:val="0"/>
    </w:pPr>
    <w:rPr>
      <w:rFonts w:eastAsiaTheme="majorEastAsia" w:cstheme="majorBidi"/>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079B"/>
    <w:rPr>
      <w:rFonts w:ascii="Arial" w:eastAsiaTheme="majorEastAsia" w:hAnsi="Arial" w:cstheme="majorBidi"/>
      <w:b/>
      <w:bCs/>
      <w:sz w:val="28"/>
      <w:szCs w:val="24"/>
    </w:rPr>
  </w:style>
  <w:style w:type="character" w:styleId="Hyperlink">
    <w:name w:val="Hyperlink"/>
    <w:basedOn w:val="DefaultParagraphFont"/>
    <w:uiPriority w:val="99"/>
    <w:unhideWhenUsed/>
    <w:rsid w:val="00F041A1"/>
    <w:rPr>
      <w:color w:val="0563C1" w:themeColor="hyperlink"/>
      <w:u w:val="single"/>
    </w:rPr>
  </w:style>
  <w:style w:type="paragraph" w:styleId="ListParagraph">
    <w:name w:val="List Paragraph"/>
    <w:aliases w:val="List Paragraph bullets,Normal Number - 1st Bullet,Bullet Paragraph,List Paragraph1,Colorful List - Accent 11"/>
    <w:basedOn w:val="Normal"/>
    <w:link w:val="ListParagraphChar"/>
    <w:uiPriority w:val="1"/>
    <w:qFormat/>
    <w:rsid w:val="006005F6"/>
    <w:pPr>
      <w:ind w:hanging="680"/>
    </w:pPr>
  </w:style>
  <w:style w:type="character" w:customStyle="1" w:styleId="ListParagraphChar">
    <w:name w:val="List Paragraph Char"/>
    <w:aliases w:val="List Paragraph bullets Char,Normal Number - 1st Bullet Char,Bullet Paragraph Char,List Paragraph1 Char,Colorful List - Accent 11 Char"/>
    <w:basedOn w:val="DefaultParagraphFont"/>
    <w:link w:val="ListParagraph"/>
    <w:uiPriority w:val="1"/>
    <w:locked/>
    <w:rsid w:val="006005F6"/>
    <w:rPr>
      <w:rFonts w:ascii="Arial" w:eastAsia="Times New Roman" w:hAnsi="Arial" w:cs="Arial"/>
      <w:sz w:val="24"/>
    </w:rPr>
  </w:style>
  <w:style w:type="character" w:styleId="CommentReference">
    <w:name w:val="annotation reference"/>
    <w:basedOn w:val="DefaultParagraphFont"/>
    <w:uiPriority w:val="99"/>
    <w:unhideWhenUsed/>
    <w:rsid w:val="001E534A"/>
    <w:rPr>
      <w:sz w:val="16"/>
      <w:szCs w:val="16"/>
    </w:rPr>
  </w:style>
  <w:style w:type="paragraph" w:styleId="CommentText">
    <w:name w:val="annotation text"/>
    <w:basedOn w:val="Normal"/>
    <w:link w:val="CommentTextChar"/>
    <w:uiPriority w:val="99"/>
    <w:unhideWhenUsed/>
    <w:rsid w:val="001E534A"/>
    <w:rPr>
      <w:sz w:val="20"/>
      <w:szCs w:val="20"/>
    </w:rPr>
  </w:style>
  <w:style w:type="character" w:customStyle="1" w:styleId="CommentTextChar">
    <w:name w:val="Comment Text Char"/>
    <w:basedOn w:val="DefaultParagraphFont"/>
    <w:link w:val="CommentText"/>
    <w:uiPriority w:val="99"/>
    <w:rsid w:val="001E534A"/>
    <w:rPr>
      <w:rFonts w:ascii="Arial" w:eastAsia="Times New Roman" w:hAnsi="Arial" w:cs="Arial"/>
      <w:sz w:val="20"/>
      <w:szCs w:val="20"/>
    </w:rPr>
  </w:style>
  <w:style w:type="table" w:styleId="TableGrid">
    <w:name w:val="Table Grid"/>
    <w:basedOn w:val="TableNormal"/>
    <w:uiPriority w:val="39"/>
    <w:rsid w:val="001E53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1A35"/>
    <w:pPr>
      <w:tabs>
        <w:tab w:val="center" w:pos="4513"/>
        <w:tab w:val="right" w:pos="9026"/>
      </w:tabs>
    </w:pPr>
  </w:style>
  <w:style w:type="character" w:customStyle="1" w:styleId="HeaderChar">
    <w:name w:val="Header Char"/>
    <w:basedOn w:val="DefaultParagraphFont"/>
    <w:link w:val="Header"/>
    <w:uiPriority w:val="99"/>
    <w:rsid w:val="00331A35"/>
    <w:rPr>
      <w:rFonts w:ascii="Arial" w:eastAsia="Times New Roman" w:hAnsi="Arial" w:cs="Arial"/>
      <w:sz w:val="24"/>
    </w:rPr>
  </w:style>
  <w:style w:type="paragraph" w:styleId="Footer">
    <w:name w:val="footer"/>
    <w:basedOn w:val="Normal"/>
    <w:link w:val="FooterChar"/>
    <w:uiPriority w:val="99"/>
    <w:unhideWhenUsed/>
    <w:rsid w:val="00331A35"/>
    <w:pPr>
      <w:tabs>
        <w:tab w:val="center" w:pos="4513"/>
        <w:tab w:val="right" w:pos="9026"/>
      </w:tabs>
    </w:pPr>
  </w:style>
  <w:style w:type="character" w:customStyle="1" w:styleId="FooterChar">
    <w:name w:val="Footer Char"/>
    <w:basedOn w:val="DefaultParagraphFont"/>
    <w:link w:val="Footer"/>
    <w:uiPriority w:val="99"/>
    <w:rsid w:val="00331A35"/>
    <w:rPr>
      <w:rFonts w:ascii="Arial" w:eastAsia="Times New Roman" w:hAnsi="Arial" w:cs="Arial"/>
      <w:sz w:val="24"/>
    </w:rPr>
  </w:style>
  <w:style w:type="paragraph" w:styleId="TOCHeading">
    <w:name w:val="TOC Heading"/>
    <w:basedOn w:val="Heading1"/>
    <w:next w:val="Normal"/>
    <w:uiPriority w:val="39"/>
    <w:unhideWhenUsed/>
    <w:qFormat/>
    <w:rsid w:val="00331A35"/>
    <w:pPr>
      <w:numPr>
        <w:numId w:val="0"/>
      </w:numPr>
      <w:autoSpaceDE/>
      <w:autoSpaceDN/>
      <w:adjustRightInd/>
      <w:spacing w:before="240" w:line="259" w:lineRule="auto"/>
      <w:jc w:val="left"/>
      <w:outlineLvl w:val="9"/>
    </w:pPr>
    <w:rPr>
      <w:rFonts w:asciiTheme="majorHAnsi" w:hAnsiTheme="majorHAnsi"/>
      <w:b w:val="0"/>
      <w:bCs w:val="0"/>
      <w:color w:val="2F5496" w:themeColor="accent1" w:themeShade="BF"/>
      <w:sz w:val="32"/>
      <w:szCs w:val="32"/>
      <w:lang w:eastAsia="en-GB"/>
    </w:rPr>
  </w:style>
  <w:style w:type="paragraph" w:styleId="TOC1">
    <w:name w:val="toc 1"/>
    <w:basedOn w:val="Normal"/>
    <w:next w:val="Normal"/>
    <w:autoRedefine/>
    <w:uiPriority w:val="39"/>
    <w:unhideWhenUsed/>
    <w:rsid w:val="001E3DE0"/>
    <w:pPr>
      <w:tabs>
        <w:tab w:val="left" w:pos="1320"/>
        <w:tab w:val="right" w:leader="dot" w:pos="9016"/>
      </w:tabs>
      <w:spacing w:after="100"/>
    </w:pPr>
  </w:style>
  <w:style w:type="paragraph" w:styleId="Revision">
    <w:name w:val="Revision"/>
    <w:hidden/>
    <w:uiPriority w:val="99"/>
    <w:semiHidden/>
    <w:rsid w:val="00350FFF"/>
    <w:pPr>
      <w:spacing w:after="0" w:line="240" w:lineRule="auto"/>
    </w:pPr>
    <w:rPr>
      <w:rFonts w:ascii="Arial" w:eastAsia="Times New Roman" w:hAnsi="Arial" w:cs="Arial"/>
      <w:sz w:val="24"/>
    </w:rPr>
  </w:style>
  <w:style w:type="paragraph" w:styleId="CommentSubject">
    <w:name w:val="annotation subject"/>
    <w:basedOn w:val="CommentText"/>
    <w:next w:val="CommentText"/>
    <w:link w:val="CommentSubjectChar"/>
    <w:uiPriority w:val="99"/>
    <w:semiHidden/>
    <w:unhideWhenUsed/>
    <w:rsid w:val="001E0335"/>
    <w:rPr>
      <w:b/>
      <w:bCs/>
    </w:rPr>
  </w:style>
  <w:style w:type="character" w:customStyle="1" w:styleId="CommentSubjectChar">
    <w:name w:val="Comment Subject Char"/>
    <w:basedOn w:val="CommentTextChar"/>
    <w:link w:val="CommentSubject"/>
    <w:uiPriority w:val="99"/>
    <w:semiHidden/>
    <w:rsid w:val="001E0335"/>
    <w:rPr>
      <w:rFonts w:ascii="Arial" w:eastAsia="Times New Roman" w:hAnsi="Arial" w:cs="Arial"/>
      <w:b/>
      <w:bCs/>
      <w:sz w:val="20"/>
      <w:szCs w:val="20"/>
    </w:rPr>
  </w:style>
  <w:style w:type="character" w:styleId="UnresolvedMention">
    <w:name w:val="Unresolved Mention"/>
    <w:basedOn w:val="DefaultParagraphFont"/>
    <w:uiPriority w:val="99"/>
    <w:semiHidden/>
    <w:unhideWhenUsed/>
    <w:rsid w:val="00C54E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curement.support@enfield.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curement.support@enfield.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lbe.local/fileserver/Resource/ProcurementandCommissioningHub/Procurement%20Operations%20%26%20Governance/CPR%27s%20Folder/Procurement%20Guidance%20041217.doc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804bfff-13b2-456a-8612-3a05aff0582c">
      <Terms xmlns="http://schemas.microsoft.com/office/infopath/2007/PartnerControls"/>
    </lcf76f155ced4ddcb4097134ff3c332f>
    <TaxCatchAll xmlns="58161d04-7337-4d5b-b751-2d533e8678d2" xsi:nil="true"/>
    <SharedWithUsers xmlns="58161d04-7337-4d5b-b751-2d533e8678d2">
      <UserInfo>
        <DisplayName>Zainab Salim</DisplayName>
        <AccountId>30</AccountId>
        <AccountType/>
      </UserInfo>
      <UserInfo>
        <DisplayName>Claire Reilly</DisplayName>
        <AccountId>10</AccountId>
        <AccountType/>
      </UserInfo>
      <UserInfo>
        <DisplayName>Clare Paine</DisplayName>
        <AccountId>26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02FF27D5BA72D4F994E388D6E408F8F" ma:contentTypeVersion="16" ma:contentTypeDescription="Create a new document." ma:contentTypeScope="" ma:versionID="f3e5f901210c8cc3d8ee5c06e660a0a7">
  <xsd:schema xmlns:xsd="http://www.w3.org/2001/XMLSchema" xmlns:xs="http://www.w3.org/2001/XMLSchema" xmlns:p="http://schemas.microsoft.com/office/2006/metadata/properties" xmlns:ns2="8804bfff-13b2-456a-8612-3a05aff0582c" xmlns:ns3="58161d04-7337-4d5b-b751-2d533e8678d2" targetNamespace="http://schemas.microsoft.com/office/2006/metadata/properties" ma:root="true" ma:fieldsID="7f15ca4fed3538767dfb228967247ba7" ns2:_="" ns3:_="">
    <xsd:import namespace="8804bfff-13b2-456a-8612-3a05aff0582c"/>
    <xsd:import namespace="58161d04-7337-4d5b-b751-2d533e8678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04bfff-13b2-456a-8612-3a05aff058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56619fc-a7a0-4310-97c6-cc26cb34961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161d04-7337-4d5b-b751-2d533e8678d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d45bce3-23c9-43fa-8fec-d0477224f64e}" ma:internalName="TaxCatchAll" ma:showField="CatchAllData" ma:web="58161d04-7337-4d5b-b751-2d533e867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07383-1BC7-4D41-B629-F4B226E1BA4A}">
  <ds:schemaRefs>
    <ds:schemaRef ds:uri="http://schemas.microsoft.com/sharepoint/v3/contenttype/forms"/>
  </ds:schemaRefs>
</ds:datastoreItem>
</file>

<file path=customXml/itemProps2.xml><?xml version="1.0" encoding="utf-8"?>
<ds:datastoreItem xmlns:ds="http://schemas.openxmlformats.org/officeDocument/2006/customXml" ds:itemID="{D99E81C2-9D8A-4CF1-85DB-763865866A39}">
  <ds:schemaRefs>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8804bfff-13b2-456a-8612-3a05aff0582c"/>
    <ds:schemaRef ds:uri="http://purl.org/dc/elements/1.1/"/>
    <ds:schemaRef ds:uri="58161d04-7337-4d5b-b751-2d533e8678d2"/>
    <ds:schemaRef ds:uri="http://www.w3.org/XML/1998/namespace"/>
    <ds:schemaRef ds:uri="http://purl.org/dc/dcmitype/"/>
  </ds:schemaRefs>
</ds:datastoreItem>
</file>

<file path=customXml/itemProps3.xml><?xml version="1.0" encoding="utf-8"?>
<ds:datastoreItem xmlns:ds="http://schemas.openxmlformats.org/officeDocument/2006/customXml" ds:itemID="{93D70579-C51D-42F7-A853-B2B22BDB46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04bfff-13b2-456a-8612-3a05aff0582c"/>
    <ds:schemaRef ds:uri="58161d04-7337-4d5b-b751-2d533e867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179905-3B46-47AB-AC86-637FB71BE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7</Pages>
  <Words>2105</Words>
  <Characters>12003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London Borough of Enfield</Company>
  <LinksUpToDate>false</LinksUpToDate>
  <CharactersWithSpaces>14080</CharactersWithSpaces>
  <SharedDoc>false</SharedDoc>
  <HLinks>
    <vt:vector size="114" baseType="variant">
      <vt:variant>
        <vt:i4>786456</vt:i4>
      </vt:variant>
      <vt:variant>
        <vt:i4>102</vt:i4>
      </vt:variant>
      <vt:variant>
        <vt:i4>0</vt:i4>
      </vt:variant>
      <vt:variant>
        <vt:i4>5</vt:i4>
      </vt:variant>
      <vt:variant>
        <vt:lpwstr>\\lbe.local\fileserver\Resource\ProcurementandCommissioningHub\Procurement Operations &amp; Governance\CPR's Folder\Procurement Guidance 041217.docx</vt:lpwstr>
      </vt:variant>
      <vt:variant>
        <vt:lpwstr>Security</vt:lpwstr>
      </vt:variant>
      <vt:variant>
        <vt:i4>6422568</vt:i4>
      </vt:variant>
      <vt:variant>
        <vt:i4>99</vt:i4>
      </vt:variant>
      <vt:variant>
        <vt:i4>0</vt:i4>
      </vt:variant>
      <vt:variant>
        <vt:i4>5</vt:i4>
      </vt:variant>
      <vt:variant>
        <vt:lpwstr>https://www.legislation.gov.uk/ukdsi/2023/9780348252613</vt:lpwstr>
      </vt:variant>
      <vt:variant>
        <vt:lpwstr/>
      </vt:variant>
      <vt:variant>
        <vt:i4>1245273</vt:i4>
      </vt:variant>
      <vt:variant>
        <vt:i4>96</vt:i4>
      </vt:variant>
      <vt:variant>
        <vt:i4>0</vt:i4>
      </vt:variant>
      <vt:variant>
        <vt:i4>5</vt:i4>
      </vt:variant>
      <vt:variant>
        <vt:lpwstr>https://www.legislation.gov.uk/ukpga/2023/54/contents/enacted</vt:lpwstr>
      </vt:variant>
      <vt:variant>
        <vt:lpwstr/>
      </vt:variant>
      <vt:variant>
        <vt:i4>3080235</vt:i4>
      </vt:variant>
      <vt:variant>
        <vt:i4>93</vt:i4>
      </vt:variant>
      <vt:variant>
        <vt:i4>0</vt:i4>
      </vt:variant>
      <vt:variant>
        <vt:i4>5</vt:i4>
      </vt:variant>
      <vt:variant>
        <vt:lpwstr>https://www.legislation.gov.uk/uksi/2015/102/contents/made</vt:lpwstr>
      </vt:variant>
      <vt:variant>
        <vt:lpwstr/>
      </vt:variant>
      <vt:variant>
        <vt:i4>1638463</vt:i4>
      </vt:variant>
      <vt:variant>
        <vt:i4>86</vt:i4>
      </vt:variant>
      <vt:variant>
        <vt:i4>0</vt:i4>
      </vt:variant>
      <vt:variant>
        <vt:i4>5</vt:i4>
      </vt:variant>
      <vt:variant>
        <vt:lpwstr/>
      </vt:variant>
      <vt:variant>
        <vt:lpwstr>_Toc181363969</vt:lpwstr>
      </vt:variant>
      <vt:variant>
        <vt:i4>1638463</vt:i4>
      </vt:variant>
      <vt:variant>
        <vt:i4>80</vt:i4>
      </vt:variant>
      <vt:variant>
        <vt:i4>0</vt:i4>
      </vt:variant>
      <vt:variant>
        <vt:i4>5</vt:i4>
      </vt:variant>
      <vt:variant>
        <vt:lpwstr/>
      </vt:variant>
      <vt:variant>
        <vt:lpwstr>_Toc181363968</vt:lpwstr>
      </vt:variant>
      <vt:variant>
        <vt:i4>1638463</vt:i4>
      </vt:variant>
      <vt:variant>
        <vt:i4>74</vt:i4>
      </vt:variant>
      <vt:variant>
        <vt:i4>0</vt:i4>
      </vt:variant>
      <vt:variant>
        <vt:i4>5</vt:i4>
      </vt:variant>
      <vt:variant>
        <vt:lpwstr/>
      </vt:variant>
      <vt:variant>
        <vt:lpwstr>_Toc181363967</vt:lpwstr>
      </vt:variant>
      <vt:variant>
        <vt:i4>1638463</vt:i4>
      </vt:variant>
      <vt:variant>
        <vt:i4>68</vt:i4>
      </vt:variant>
      <vt:variant>
        <vt:i4>0</vt:i4>
      </vt:variant>
      <vt:variant>
        <vt:i4>5</vt:i4>
      </vt:variant>
      <vt:variant>
        <vt:lpwstr/>
      </vt:variant>
      <vt:variant>
        <vt:lpwstr>_Toc181363966</vt:lpwstr>
      </vt:variant>
      <vt:variant>
        <vt:i4>1638463</vt:i4>
      </vt:variant>
      <vt:variant>
        <vt:i4>62</vt:i4>
      </vt:variant>
      <vt:variant>
        <vt:i4>0</vt:i4>
      </vt:variant>
      <vt:variant>
        <vt:i4>5</vt:i4>
      </vt:variant>
      <vt:variant>
        <vt:lpwstr/>
      </vt:variant>
      <vt:variant>
        <vt:lpwstr>_Toc181363965</vt:lpwstr>
      </vt:variant>
      <vt:variant>
        <vt:i4>1638463</vt:i4>
      </vt:variant>
      <vt:variant>
        <vt:i4>56</vt:i4>
      </vt:variant>
      <vt:variant>
        <vt:i4>0</vt:i4>
      </vt:variant>
      <vt:variant>
        <vt:i4>5</vt:i4>
      </vt:variant>
      <vt:variant>
        <vt:lpwstr/>
      </vt:variant>
      <vt:variant>
        <vt:lpwstr>_Toc181363964</vt:lpwstr>
      </vt:variant>
      <vt:variant>
        <vt:i4>1638463</vt:i4>
      </vt:variant>
      <vt:variant>
        <vt:i4>50</vt:i4>
      </vt:variant>
      <vt:variant>
        <vt:i4>0</vt:i4>
      </vt:variant>
      <vt:variant>
        <vt:i4>5</vt:i4>
      </vt:variant>
      <vt:variant>
        <vt:lpwstr/>
      </vt:variant>
      <vt:variant>
        <vt:lpwstr>_Toc181363963</vt:lpwstr>
      </vt:variant>
      <vt:variant>
        <vt:i4>1638463</vt:i4>
      </vt:variant>
      <vt:variant>
        <vt:i4>44</vt:i4>
      </vt:variant>
      <vt:variant>
        <vt:i4>0</vt:i4>
      </vt:variant>
      <vt:variant>
        <vt:i4>5</vt:i4>
      </vt:variant>
      <vt:variant>
        <vt:lpwstr/>
      </vt:variant>
      <vt:variant>
        <vt:lpwstr>_Toc181363962</vt:lpwstr>
      </vt:variant>
      <vt:variant>
        <vt:i4>1638463</vt:i4>
      </vt:variant>
      <vt:variant>
        <vt:i4>38</vt:i4>
      </vt:variant>
      <vt:variant>
        <vt:i4>0</vt:i4>
      </vt:variant>
      <vt:variant>
        <vt:i4>5</vt:i4>
      </vt:variant>
      <vt:variant>
        <vt:lpwstr/>
      </vt:variant>
      <vt:variant>
        <vt:lpwstr>_Toc181363961</vt:lpwstr>
      </vt:variant>
      <vt:variant>
        <vt:i4>1638463</vt:i4>
      </vt:variant>
      <vt:variant>
        <vt:i4>32</vt:i4>
      </vt:variant>
      <vt:variant>
        <vt:i4>0</vt:i4>
      </vt:variant>
      <vt:variant>
        <vt:i4>5</vt:i4>
      </vt:variant>
      <vt:variant>
        <vt:lpwstr/>
      </vt:variant>
      <vt:variant>
        <vt:lpwstr>_Toc181363960</vt:lpwstr>
      </vt:variant>
      <vt:variant>
        <vt:i4>1703999</vt:i4>
      </vt:variant>
      <vt:variant>
        <vt:i4>26</vt:i4>
      </vt:variant>
      <vt:variant>
        <vt:i4>0</vt:i4>
      </vt:variant>
      <vt:variant>
        <vt:i4>5</vt:i4>
      </vt:variant>
      <vt:variant>
        <vt:lpwstr/>
      </vt:variant>
      <vt:variant>
        <vt:lpwstr>_Toc181363959</vt:lpwstr>
      </vt:variant>
      <vt:variant>
        <vt:i4>1703999</vt:i4>
      </vt:variant>
      <vt:variant>
        <vt:i4>20</vt:i4>
      </vt:variant>
      <vt:variant>
        <vt:i4>0</vt:i4>
      </vt:variant>
      <vt:variant>
        <vt:i4>5</vt:i4>
      </vt:variant>
      <vt:variant>
        <vt:lpwstr/>
      </vt:variant>
      <vt:variant>
        <vt:lpwstr>_Toc181363958</vt:lpwstr>
      </vt:variant>
      <vt:variant>
        <vt:i4>1703999</vt:i4>
      </vt:variant>
      <vt:variant>
        <vt:i4>14</vt:i4>
      </vt:variant>
      <vt:variant>
        <vt:i4>0</vt:i4>
      </vt:variant>
      <vt:variant>
        <vt:i4>5</vt:i4>
      </vt:variant>
      <vt:variant>
        <vt:lpwstr/>
      </vt:variant>
      <vt:variant>
        <vt:lpwstr>_Toc181363957</vt:lpwstr>
      </vt:variant>
      <vt:variant>
        <vt:i4>1703999</vt:i4>
      </vt:variant>
      <vt:variant>
        <vt:i4>8</vt:i4>
      </vt:variant>
      <vt:variant>
        <vt:i4>0</vt:i4>
      </vt:variant>
      <vt:variant>
        <vt:i4>5</vt:i4>
      </vt:variant>
      <vt:variant>
        <vt:lpwstr/>
      </vt:variant>
      <vt:variant>
        <vt:lpwstr>_Toc181363956</vt:lpwstr>
      </vt:variant>
      <vt:variant>
        <vt:i4>1703999</vt:i4>
      </vt:variant>
      <vt:variant>
        <vt:i4>2</vt:i4>
      </vt:variant>
      <vt:variant>
        <vt:i4>0</vt:i4>
      </vt:variant>
      <vt:variant>
        <vt:i4>5</vt:i4>
      </vt:variant>
      <vt:variant>
        <vt:lpwstr/>
      </vt:variant>
      <vt:variant>
        <vt:lpwstr>_Toc181363955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Reilly</dc:creator>
  <cp:keywords/>
  <dc:description/>
  <cp:lastModifiedBy>Claire Reilly</cp:lastModifiedBy>
  <cp:revision>3</cp:revision>
  <dcterms:created xsi:type="dcterms:W3CDTF">2025-05-08T14:42:00Z</dcterms:created>
  <dcterms:modified xsi:type="dcterms:W3CDTF">2025-05-08T15:49:00Z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0x010100602FF27D5BA72D4F994E388D6E408F8F</vt:lpwstr>
  </property>
  <property fmtid="{D5CDD505-2E9C-101B-9397-08002B2CF9AE}" pid="3" name="MSIP_Label_d02b1413-7813-406b-b6f6-6ae50587ee27_Enabled">
    <vt:lpwstr>true</vt:lpwstr>
  </property>
  <property fmtid="{D5CDD505-2E9C-101B-9397-08002B2CF9AE}" pid="4" name="MSIP_Label_d02b1413-7813-406b-b6f6-6ae50587ee27_SetDate">
    <vt:lpwstr>2024-05-20T12:50:52Z</vt:lpwstr>
  </property>
  <property fmtid="{D5CDD505-2E9C-101B-9397-08002B2CF9AE}" pid="5" name="MSIP_Label_d02b1413-7813-406b-b6f6-6ae50587ee27_Method">
    <vt:lpwstr>Privileged</vt:lpwstr>
  </property>
  <property fmtid="{D5CDD505-2E9C-101B-9397-08002B2CF9AE}" pid="6" name="MSIP_Label_d02b1413-7813-406b-b6f6-6ae50587ee27_Name">
    <vt:lpwstr>d02b1413-7813-406b-b6f6-6ae50587ee27</vt:lpwstr>
  </property>
  <property fmtid="{D5CDD505-2E9C-101B-9397-08002B2CF9AE}" pid="7" name="MSIP_Label_d02b1413-7813-406b-b6f6-6ae50587ee27_SiteId">
    <vt:lpwstr>cc18b91d-1bb2-4d9b-ac76-7a4447488d49</vt:lpwstr>
  </property>
  <property fmtid="{D5CDD505-2E9C-101B-9397-08002B2CF9AE}" pid="8" name="MSIP_Label_d02b1413-7813-406b-b6f6-6ae50587ee27_ActionId">
    <vt:lpwstr>b8be73e1-d608-463b-94a9-69c18a72ef9d</vt:lpwstr>
  </property>
  <property fmtid="{D5CDD505-2E9C-101B-9397-08002B2CF9AE}" pid="9" name="MSIP_Label_d02b1413-7813-406b-b6f6-6ae50587ee27_ContentBits">
    <vt:lpwstr>0</vt:lpwstr>
  </property>
  <property fmtid="{D5CDD505-2E9C-101B-9397-08002B2CF9AE}" pid="10" name="MediaServiceImageTags">
    <vt:lpwstr/>
  </property>
</Properties>
</file>